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2BF4" w:rsidRPr="00152BF4" w:rsidRDefault="00152BF4" w:rsidP="00152BF4">
      <w:pPr>
        <w:spacing w:after="0" w:line="280" w:lineRule="atLeast"/>
        <w:outlineLvl w:val="0"/>
        <w:rPr>
          <w:rFonts w:ascii="Helvetica" w:eastAsia="Times New Roman" w:hAnsi="Helvetica" w:cs="Helvetica"/>
          <w:b/>
          <w:bCs/>
          <w:kern w:val="36"/>
          <w:sz w:val="54"/>
          <w:szCs w:val="54"/>
        </w:rPr>
      </w:pPr>
      <w:bookmarkStart w:id="0" w:name="_GoBack"/>
      <w:bookmarkEnd w:id="0"/>
      <w:r w:rsidRPr="00152BF4">
        <w:rPr>
          <w:rFonts w:ascii="Helvetica" w:eastAsia="Times New Roman" w:hAnsi="Helvetica" w:cs="Helvetica"/>
          <w:b/>
          <w:bCs/>
          <w:kern w:val="36"/>
          <w:sz w:val="54"/>
          <w:szCs w:val="54"/>
        </w:rPr>
        <w:t>Inside SoCal Edison’s Plan to Open Its Grid to Distributed Energy</w:t>
      </w:r>
    </w:p>
    <w:p w:rsidR="00152BF4" w:rsidRPr="00152BF4" w:rsidRDefault="00152BF4" w:rsidP="00152BF4">
      <w:pPr>
        <w:spacing w:after="0" w:line="360" w:lineRule="atLeast"/>
        <w:rPr>
          <w:rFonts w:ascii="Helvetica" w:eastAsia="Times New Roman" w:hAnsi="Helvetica" w:cs="Helvetica"/>
          <w:sz w:val="24"/>
          <w:szCs w:val="24"/>
        </w:rPr>
      </w:pPr>
      <w:r>
        <w:rPr>
          <w:rFonts w:ascii="Helvetica" w:eastAsia="Times New Roman" w:hAnsi="Helvetica" w:cs="Helvetica"/>
          <w:noProof/>
          <w:sz w:val="24"/>
          <w:szCs w:val="24"/>
        </w:rPr>
        <w:drawing>
          <wp:inline distT="0" distB="0" distL="0" distR="0">
            <wp:extent cx="2948940" cy="1973580"/>
            <wp:effectExtent l="0" t="0" r="3810" b="7620"/>
            <wp:docPr id="4" name="Picture 4" descr="Inside SoCal Edison’s Plan to Open Its Grid to Distributed Energ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side SoCal Edison’s Plan to Open Its Grid to Distributed Energy"/>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48940" cy="1973580"/>
                    </a:xfrm>
                    <a:prstGeom prst="rect">
                      <a:avLst/>
                    </a:prstGeom>
                    <a:noFill/>
                    <a:ln>
                      <a:noFill/>
                    </a:ln>
                  </pic:spPr>
                </pic:pic>
              </a:graphicData>
            </a:graphic>
          </wp:inline>
        </w:drawing>
      </w:r>
    </w:p>
    <w:p w:rsidR="00152BF4" w:rsidRPr="00152BF4" w:rsidRDefault="00152BF4" w:rsidP="00152BF4">
      <w:pPr>
        <w:spacing w:after="360" w:line="360" w:lineRule="atLeast"/>
        <w:outlineLvl w:val="3"/>
        <w:rPr>
          <w:rFonts w:ascii="Helvetica" w:eastAsia="Times New Roman" w:hAnsi="Helvetica" w:cs="Helvetica"/>
          <w:b/>
          <w:bCs/>
          <w:sz w:val="26"/>
          <w:szCs w:val="26"/>
        </w:rPr>
      </w:pPr>
      <w:r w:rsidRPr="00152BF4">
        <w:rPr>
          <w:rFonts w:ascii="Helvetica" w:eastAsia="Times New Roman" w:hAnsi="Helvetica" w:cs="Helvetica"/>
          <w:b/>
          <w:bCs/>
          <w:sz w:val="26"/>
          <w:szCs w:val="26"/>
        </w:rPr>
        <w:t>A groundbreaking, just-filed blueprint to bring distributed solar, batteries, EVs and more into billion-dollar grid investment plans</w:t>
      </w:r>
    </w:p>
    <w:p w:rsidR="00152BF4" w:rsidRPr="00152BF4" w:rsidRDefault="00DB2591" w:rsidP="00152BF4">
      <w:pPr>
        <w:spacing w:after="0" w:line="351" w:lineRule="atLeast"/>
        <w:outlineLvl w:val="5"/>
        <w:rPr>
          <w:rFonts w:ascii="Helvetica" w:eastAsia="Times New Roman" w:hAnsi="Helvetica" w:cs="Helvetica"/>
          <w:b/>
          <w:bCs/>
          <w:sz w:val="19"/>
          <w:szCs w:val="19"/>
        </w:rPr>
      </w:pPr>
      <w:hyperlink r:id="rId6" w:history="1">
        <w:r w:rsidR="00152BF4" w:rsidRPr="00152BF4">
          <w:rPr>
            <w:rFonts w:ascii="Helvetica" w:eastAsia="Times New Roman" w:hAnsi="Helvetica" w:cs="Helvetica"/>
            <w:b/>
            <w:bCs/>
            <w:color w:val="97AD78"/>
            <w:sz w:val="19"/>
            <w:szCs w:val="19"/>
            <w:bdr w:val="none" w:sz="0" w:space="0" w:color="auto" w:frame="1"/>
          </w:rPr>
          <w:t>Jeff St. John</w:t>
        </w:r>
      </w:hyperlink>
      <w:r w:rsidR="00152BF4" w:rsidRPr="00152BF4">
        <w:rPr>
          <w:rFonts w:ascii="Helvetica" w:eastAsia="Times New Roman" w:hAnsi="Helvetica" w:cs="Helvetica"/>
          <w:b/>
          <w:bCs/>
          <w:sz w:val="19"/>
          <w:szCs w:val="19"/>
        </w:rPr>
        <w:t xml:space="preserve"> </w:t>
      </w:r>
      <w:r w:rsidR="00152BF4" w:rsidRPr="00152BF4">
        <w:rPr>
          <w:rFonts w:ascii="Helvetica" w:eastAsia="Times New Roman" w:hAnsi="Helvetica" w:cs="Helvetica"/>
          <w:b/>
          <w:bCs/>
          <w:sz w:val="19"/>
          <w:szCs w:val="19"/>
        </w:rPr>
        <w:br w:type="textWrapping" w:clear="all"/>
        <w:t xml:space="preserve">July 1, 2015 </w:t>
      </w:r>
    </w:p>
    <w:p w:rsidR="00152BF4" w:rsidRPr="00152BF4" w:rsidRDefault="00152BF4" w:rsidP="00152BF4">
      <w:pPr>
        <w:spacing w:after="360" w:line="360" w:lineRule="atLeast"/>
        <w:rPr>
          <w:rFonts w:ascii="Helvetica" w:eastAsia="Times New Roman" w:hAnsi="Helvetica" w:cs="Helvetica"/>
          <w:sz w:val="21"/>
          <w:szCs w:val="21"/>
        </w:rPr>
      </w:pPr>
      <w:r w:rsidRPr="00152BF4">
        <w:rPr>
          <w:rFonts w:ascii="Helvetica" w:eastAsia="Times New Roman" w:hAnsi="Helvetica" w:cs="Helvetica"/>
          <w:sz w:val="21"/>
          <w:szCs w:val="21"/>
        </w:rPr>
        <w:t>Two years ago, California told its three big investor-owned utilities to do something they’ve never done before -- make distributed energy resources (DERs for short) a fundamental part of their billion-dollar distribution grid investment plans.</w:t>
      </w:r>
    </w:p>
    <w:p w:rsidR="00152BF4" w:rsidRPr="00152BF4" w:rsidRDefault="00152BF4" w:rsidP="00152BF4">
      <w:pPr>
        <w:spacing w:after="360" w:line="360" w:lineRule="atLeast"/>
        <w:rPr>
          <w:rFonts w:ascii="Helvetica" w:eastAsia="Times New Roman" w:hAnsi="Helvetica" w:cs="Helvetica"/>
          <w:sz w:val="21"/>
          <w:szCs w:val="21"/>
        </w:rPr>
      </w:pPr>
      <w:r w:rsidRPr="00152BF4">
        <w:rPr>
          <w:rFonts w:ascii="Helvetica" w:eastAsia="Times New Roman" w:hAnsi="Helvetica" w:cs="Helvetica"/>
          <w:sz w:val="21"/>
          <w:szCs w:val="21"/>
        </w:rPr>
        <w:t xml:space="preserve">Under </w:t>
      </w:r>
      <w:hyperlink r:id="rId7" w:history="1">
        <w:r w:rsidRPr="00152BF4">
          <w:rPr>
            <w:rFonts w:ascii="Helvetica" w:eastAsia="Times New Roman" w:hAnsi="Helvetica" w:cs="Helvetica"/>
            <w:color w:val="97AD78"/>
            <w:sz w:val="21"/>
            <w:szCs w:val="21"/>
            <w:bdr w:val="none" w:sz="0" w:space="0" w:color="auto" w:frame="1"/>
          </w:rPr>
          <w:t>state law AB 327</w:t>
        </w:r>
      </w:hyperlink>
      <w:r w:rsidRPr="00152BF4">
        <w:rPr>
          <w:rFonts w:ascii="Helvetica" w:eastAsia="Times New Roman" w:hAnsi="Helvetica" w:cs="Helvetica"/>
          <w:sz w:val="21"/>
          <w:szCs w:val="21"/>
        </w:rPr>
        <w:t xml:space="preserve">, Southern California Edison, Pacific Gas &amp; Electric and San Diego Gas &amp; Electric were tasked with finding a way to integrate solar PV, behind-the-meter batteries, electric vehicle chargers, building energy management systems, and other distributed energy resources into a new set of </w:t>
      </w:r>
      <w:hyperlink r:id="rId8" w:history="1">
        <w:r w:rsidRPr="00152BF4">
          <w:rPr>
            <w:rFonts w:ascii="Helvetica" w:eastAsia="Times New Roman" w:hAnsi="Helvetica" w:cs="Helvetica"/>
            <w:color w:val="97AD78"/>
            <w:sz w:val="21"/>
            <w:szCs w:val="21"/>
            <w:bdr w:val="none" w:sz="0" w:space="0" w:color="auto" w:frame="1"/>
          </w:rPr>
          <w:t>distribution resource plans (DRPs</w:t>
        </w:r>
      </w:hyperlink>
      <w:r w:rsidRPr="00152BF4">
        <w:rPr>
          <w:rFonts w:ascii="Helvetica" w:eastAsia="Times New Roman" w:hAnsi="Helvetica" w:cs="Helvetica"/>
          <w:sz w:val="21"/>
          <w:szCs w:val="21"/>
        </w:rPr>
        <w:t>). The fundamental idea is to make DERs central to the way these utilities maintain and upgrade their last-mile electricity distribution system, rather than an afterthought.</w:t>
      </w:r>
    </w:p>
    <w:p w:rsidR="00152BF4" w:rsidRPr="00152BF4" w:rsidRDefault="00152BF4" w:rsidP="00152BF4">
      <w:pPr>
        <w:spacing w:after="360" w:line="360" w:lineRule="atLeast"/>
        <w:rPr>
          <w:rFonts w:ascii="Helvetica" w:eastAsia="Times New Roman" w:hAnsi="Helvetica" w:cs="Helvetica"/>
          <w:sz w:val="21"/>
          <w:szCs w:val="21"/>
        </w:rPr>
      </w:pPr>
      <w:r w:rsidRPr="00152BF4">
        <w:rPr>
          <w:rFonts w:ascii="Helvetica" w:eastAsia="Times New Roman" w:hAnsi="Helvetica" w:cs="Helvetica"/>
          <w:sz w:val="21"/>
          <w:szCs w:val="21"/>
        </w:rPr>
        <w:t>The California Public Utilities Commission set a high bar for these DRPs under its guidance released last year (</w:t>
      </w:r>
      <w:hyperlink r:id="rId9" w:tgtFrame="_blank" w:history="1">
        <w:r w:rsidRPr="00152BF4">
          <w:rPr>
            <w:rFonts w:ascii="Helvetica" w:eastAsia="Times New Roman" w:hAnsi="Helvetica" w:cs="Helvetica"/>
            <w:color w:val="97AD78"/>
            <w:sz w:val="21"/>
            <w:szCs w:val="21"/>
            <w:bdr w:val="none" w:sz="0" w:space="0" w:color="auto" w:frame="1"/>
          </w:rPr>
          <w:t>PDF</w:t>
        </w:r>
      </w:hyperlink>
      <w:r w:rsidRPr="00152BF4">
        <w:rPr>
          <w:rFonts w:ascii="Helvetica" w:eastAsia="Times New Roman" w:hAnsi="Helvetica" w:cs="Helvetica"/>
          <w:sz w:val="21"/>
          <w:szCs w:val="21"/>
        </w:rPr>
        <w:t xml:space="preserve">). Utilities have to </w:t>
      </w:r>
      <w:hyperlink r:id="rId10" w:history="1">
        <w:r w:rsidRPr="00152BF4">
          <w:rPr>
            <w:rFonts w:ascii="Helvetica" w:eastAsia="Times New Roman" w:hAnsi="Helvetica" w:cs="Helvetica"/>
            <w:color w:val="97AD78"/>
            <w:sz w:val="21"/>
            <w:szCs w:val="21"/>
            <w:bdr w:val="none" w:sz="0" w:space="0" w:color="auto" w:frame="1"/>
          </w:rPr>
          <w:t>provide much more detailed data</w:t>
        </w:r>
      </w:hyperlink>
      <w:r w:rsidRPr="00152BF4">
        <w:rPr>
          <w:rFonts w:ascii="Helvetica" w:eastAsia="Times New Roman" w:hAnsi="Helvetica" w:cs="Helvetica"/>
          <w:sz w:val="21"/>
          <w:szCs w:val="21"/>
        </w:rPr>
        <w:t xml:space="preserve"> on their distribution grids, in as close to real time as possible. They have to come up with methods to measure the benefits that DERs could provide on a circuit-by-circuit basis. And eventually, they’ll be asked to compensate DERs for these values, in lieu of traditional utility capital investments. </w:t>
      </w:r>
    </w:p>
    <w:p w:rsidR="00152BF4" w:rsidRPr="00152BF4" w:rsidRDefault="00152BF4" w:rsidP="00152BF4">
      <w:pPr>
        <w:spacing w:after="360" w:line="360" w:lineRule="atLeast"/>
        <w:rPr>
          <w:rFonts w:ascii="Helvetica" w:eastAsia="Times New Roman" w:hAnsi="Helvetica" w:cs="Helvetica"/>
          <w:sz w:val="21"/>
          <w:szCs w:val="21"/>
        </w:rPr>
      </w:pPr>
      <w:r w:rsidRPr="00152BF4">
        <w:rPr>
          <w:rFonts w:ascii="Helvetica" w:eastAsia="Times New Roman" w:hAnsi="Helvetica" w:cs="Helvetica"/>
          <w:sz w:val="21"/>
          <w:szCs w:val="21"/>
        </w:rPr>
        <w:lastRenderedPageBreak/>
        <w:t>This has profound implications for how rooftop PV installers, energy storage developers, demand response providers and other third-party DER companies will do business in the state. That's made the DRP planning process the subject of much debate and scrutiny over the past year -- and plenty of impatience for their details to be released.</w:t>
      </w:r>
    </w:p>
    <w:p w:rsidR="00152BF4" w:rsidRPr="00152BF4" w:rsidRDefault="00152BF4" w:rsidP="00152BF4">
      <w:pPr>
        <w:spacing w:after="360" w:line="360" w:lineRule="atLeast"/>
        <w:rPr>
          <w:rFonts w:ascii="Helvetica" w:eastAsia="Times New Roman" w:hAnsi="Helvetica" w:cs="Helvetica"/>
          <w:sz w:val="21"/>
          <w:szCs w:val="21"/>
        </w:rPr>
      </w:pPr>
      <w:r w:rsidRPr="00152BF4">
        <w:rPr>
          <w:rFonts w:ascii="Helvetica" w:eastAsia="Times New Roman" w:hAnsi="Helvetica" w:cs="Helvetica"/>
          <w:sz w:val="21"/>
          <w:szCs w:val="21"/>
        </w:rPr>
        <w:t>Now, with Wednesday the deadline for utilities to file their plans with the CPUC, the wait is over -- and we've got details on how one utility is putting its grid-edge plan together. This week, Southern California Edison shared some fundamental features of its DRP, including some new software tools and methodologies to assess distribution grid capacity, the way it plans to assess the costs and benefits of DERs for its upcoming rate case, and new pilot projects to test these propositions in the real world.</w:t>
      </w:r>
    </w:p>
    <w:p w:rsidR="00152BF4" w:rsidRPr="00152BF4" w:rsidRDefault="00152BF4" w:rsidP="00152BF4">
      <w:pPr>
        <w:spacing w:after="360" w:line="360" w:lineRule="atLeast"/>
        <w:rPr>
          <w:rFonts w:ascii="Helvetica" w:eastAsia="Times New Roman" w:hAnsi="Helvetica" w:cs="Helvetica"/>
          <w:sz w:val="21"/>
          <w:szCs w:val="21"/>
        </w:rPr>
      </w:pPr>
      <w:r w:rsidRPr="00152BF4">
        <w:rPr>
          <w:rFonts w:ascii="Helvetica" w:eastAsia="Times New Roman" w:hAnsi="Helvetica" w:cs="Helvetica"/>
          <w:sz w:val="21"/>
          <w:szCs w:val="21"/>
        </w:rPr>
        <w:t xml:space="preserve">“This really represents us evolving and transforming the distribution planning process,” Erik </w:t>
      </w:r>
      <w:proofErr w:type="spellStart"/>
      <w:r w:rsidRPr="00152BF4">
        <w:rPr>
          <w:rFonts w:ascii="Helvetica" w:eastAsia="Times New Roman" w:hAnsi="Helvetica" w:cs="Helvetica"/>
          <w:sz w:val="21"/>
          <w:szCs w:val="21"/>
        </w:rPr>
        <w:t>Takayesu</w:t>
      </w:r>
      <w:proofErr w:type="spellEnd"/>
      <w:r w:rsidRPr="00152BF4">
        <w:rPr>
          <w:rFonts w:ascii="Helvetica" w:eastAsia="Times New Roman" w:hAnsi="Helvetica" w:cs="Helvetica"/>
          <w:sz w:val="21"/>
          <w:szCs w:val="21"/>
        </w:rPr>
        <w:t>, director of electric system planning for SCE, said in an interview. Let's take a look under the hood.</w:t>
      </w:r>
    </w:p>
    <w:p w:rsidR="00152BF4" w:rsidRPr="00152BF4" w:rsidRDefault="00152BF4" w:rsidP="00152BF4">
      <w:pPr>
        <w:spacing w:after="0" w:line="336" w:lineRule="atLeast"/>
        <w:outlineLvl w:val="2"/>
        <w:rPr>
          <w:rFonts w:ascii="Helvetica" w:eastAsia="Times New Roman" w:hAnsi="Helvetica" w:cs="Helvetica"/>
          <w:b/>
          <w:bCs/>
          <w:sz w:val="30"/>
          <w:szCs w:val="30"/>
        </w:rPr>
      </w:pPr>
      <w:r w:rsidRPr="00152BF4">
        <w:rPr>
          <w:rFonts w:ascii="Helvetica" w:eastAsia="Times New Roman" w:hAnsi="Helvetica" w:cs="Helvetica"/>
          <w:b/>
          <w:bCs/>
          <w:sz w:val="30"/>
          <w:szCs w:val="30"/>
        </w:rPr>
        <w:t>Software tools to rank 4,600 grid circuits for DER capacity</w:t>
      </w:r>
    </w:p>
    <w:p w:rsidR="00152BF4" w:rsidRPr="00152BF4" w:rsidRDefault="00152BF4" w:rsidP="00152BF4">
      <w:pPr>
        <w:spacing w:after="360" w:line="360" w:lineRule="atLeast"/>
        <w:rPr>
          <w:rFonts w:ascii="Helvetica" w:eastAsia="Times New Roman" w:hAnsi="Helvetica" w:cs="Helvetica"/>
          <w:sz w:val="21"/>
          <w:szCs w:val="21"/>
        </w:rPr>
      </w:pPr>
      <w:r w:rsidRPr="00152BF4">
        <w:rPr>
          <w:rFonts w:ascii="Helvetica" w:eastAsia="Times New Roman" w:hAnsi="Helvetica" w:cs="Helvetica"/>
          <w:sz w:val="21"/>
          <w:szCs w:val="21"/>
        </w:rPr>
        <w:t>One of the first steps SCE and its fellow utilities were asked to take was to come up with an integrated capacity analysis, also known as DER hosting capacity analysis, for its distribution circuits. That’s a tall order, considering that SCE has about 4,600 circuits across its territory.</w:t>
      </w:r>
    </w:p>
    <w:p w:rsidR="00152BF4" w:rsidRPr="00152BF4" w:rsidRDefault="00152BF4" w:rsidP="00152BF4">
      <w:pPr>
        <w:spacing w:after="360" w:line="360" w:lineRule="atLeast"/>
        <w:rPr>
          <w:rFonts w:ascii="Helvetica" w:eastAsia="Times New Roman" w:hAnsi="Helvetica" w:cs="Helvetica"/>
          <w:sz w:val="21"/>
          <w:szCs w:val="21"/>
        </w:rPr>
      </w:pPr>
      <w:r w:rsidRPr="00152BF4">
        <w:rPr>
          <w:rFonts w:ascii="Helvetica" w:eastAsia="Times New Roman" w:hAnsi="Helvetica" w:cs="Helvetica"/>
          <w:sz w:val="21"/>
          <w:szCs w:val="21"/>
        </w:rPr>
        <w:t xml:space="preserve">To break the problem down, “we performed an analysis of our system, using 30 representative feeders,” </w:t>
      </w:r>
      <w:proofErr w:type="spellStart"/>
      <w:r w:rsidRPr="00152BF4">
        <w:rPr>
          <w:rFonts w:ascii="Helvetica" w:eastAsia="Times New Roman" w:hAnsi="Helvetica" w:cs="Helvetica"/>
          <w:sz w:val="21"/>
          <w:szCs w:val="21"/>
        </w:rPr>
        <w:t>Takayesu</w:t>
      </w:r>
      <w:proofErr w:type="spellEnd"/>
      <w:r w:rsidRPr="00152BF4">
        <w:rPr>
          <w:rFonts w:ascii="Helvetica" w:eastAsia="Times New Roman" w:hAnsi="Helvetica" w:cs="Helvetica"/>
          <w:sz w:val="21"/>
          <w:szCs w:val="21"/>
        </w:rPr>
        <w:t xml:space="preserve"> said. These range from lightly loaded rural distribution circuits to urban feeders serving heavy commercial and industrial customers, each with particular power line and transformer physical constraints, variations in when and for how long peak loading occurs, and other differentiating factors.</w:t>
      </w:r>
    </w:p>
    <w:p w:rsidR="00152BF4" w:rsidRPr="00152BF4" w:rsidRDefault="00152BF4" w:rsidP="00152BF4">
      <w:pPr>
        <w:spacing w:after="360" w:line="360" w:lineRule="atLeast"/>
        <w:rPr>
          <w:rFonts w:ascii="Helvetica" w:eastAsia="Times New Roman" w:hAnsi="Helvetica" w:cs="Helvetica"/>
          <w:sz w:val="21"/>
          <w:szCs w:val="21"/>
        </w:rPr>
      </w:pPr>
      <w:r w:rsidRPr="00152BF4">
        <w:rPr>
          <w:rFonts w:ascii="Helvetica" w:eastAsia="Times New Roman" w:hAnsi="Helvetica" w:cs="Helvetica"/>
          <w:sz w:val="21"/>
          <w:szCs w:val="21"/>
        </w:rPr>
        <w:t xml:space="preserve">To build these complex grid models, SCE vetted three different methodologies, including an internally developed one, another from the </w:t>
      </w:r>
      <w:hyperlink r:id="rId11" w:history="1">
        <w:r w:rsidRPr="00152BF4">
          <w:rPr>
            <w:rFonts w:ascii="Helvetica" w:eastAsia="Times New Roman" w:hAnsi="Helvetica" w:cs="Helvetica"/>
            <w:color w:val="97AD78"/>
            <w:sz w:val="21"/>
            <w:szCs w:val="21"/>
            <w:bdr w:val="none" w:sz="0" w:space="0" w:color="auto" w:frame="1"/>
          </w:rPr>
          <w:t>Electric Power Research Institute (EPRI)</w:t>
        </w:r>
      </w:hyperlink>
      <w:r w:rsidRPr="00152BF4">
        <w:rPr>
          <w:rFonts w:ascii="Helvetica" w:eastAsia="Times New Roman" w:hAnsi="Helvetica" w:cs="Helvetica"/>
          <w:sz w:val="21"/>
          <w:szCs w:val="21"/>
        </w:rPr>
        <w:t xml:space="preserve">, and a third from </w:t>
      </w:r>
      <w:hyperlink r:id="rId12" w:history="1">
        <w:r w:rsidRPr="00152BF4">
          <w:rPr>
            <w:rFonts w:ascii="Helvetica" w:eastAsia="Times New Roman" w:hAnsi="Helvetica" w:cs="Helvetica"/>
            <w:color w:val="97AD78"/>
            <w:sz w:val="21"/>
            <w:szCs w:val="21"/>
            <w:bdr w:val="none" w:sz="0" w:space="0" w:color="auto" w:frame="1"/>
          </w:rPr>
          <w:t>software vendor Integral Analytics</w:t>
        </w:r>
      </w:hyperlink>
      <w:r w:rsidRPr="00152BF4">
        <w:rPr>
          <w:rFonts w:ascii="Helvetica" w:eastAsia="Times New Roman" w:hAnsi="Helvetica" w:cs="Helvetica"/>
          <w:sz w:val="21"/>
          <w:szCs w:val="21"/>
        </w:rPr>
        <w:t xml:space="preserve">. The end result is a data analysis and presentation platform </w:t>
      </w:r>
      <w:proofErr w:type="gramStart"/>
      <w:r w:rsidRPr="00152BF4">
        <w:rPr>
          <w:rFonts w:ascii="Helvetica" w:eastAsia="Times New Roman" w:hAnsi="Helvetica" w:cs="Helvetica"/>
          <w:sz w:val="21"/>
          <w:szCs w:val="21"/>
        </w:rPr>
        <w:t>that ”</w:t>
      </w:r>
      <w:proofErr w:type="gramEnd"/>
      <w:r w:rsidRPr="00152BF4">
        <w:rPr>
          <w:rFonts w:ascii="Helvetica" w:eastAsia="Times New Roman" w:hAnsi="Helvetica" w:cs="Helvetica"/>
          <w:sz w:val="21"/>
          <w:szCs w:val="21"/>
        </w:rPr>
        <w:t>will be fairly representative of the 4,600-plus circuits we have,” he said.</w:t>
      </w:r>
    </w:p>
    <w:p w:rsidR="00152BF4" w:rsidRPr="00152BF4" w:rsidRDefault="00152BF4" w:rsidP="00152BF4">
      <w:pPr>
        <w:spacing w:after="360" w:line="360" w:lineRule="atLeast"/>
        <w:rPr>
          <w:rFonts w:ascii="Helvetica" w:eastAsia="Times New Roman" w:hAnsi="Helvetica" w:cs="Helvetica"/>
          <w:sz w:val="21"/>
          <w:szCs w:val="21"/>
        </w:rPr>
      </w:pPr>
      <w:r w:rsidRPr="00152BF4">
        <w:rPr>
          <w:rFonts w:ascii="Helvetica" w:eastAsia="Times New Roman" w:hAnsi="Helvetica" w:cs="Helvetica"/>
          <w:sz w:val="21"/>
          <w:szCs w:val="21"/>
        </w:rPr>
        <w:t xml:space="preserve">Most distribution circuits share two common characteristics, SCE noted in a CPUC presentation. First, the higher the distribution voltage, the higher the integration capacity; and second, the closer the line segment is to the substation, the more DERs it can accommodate. But because each circuit </w:t>
      </w:r>
      <w:r w:rsidRPr="00152BF4">
        <w:rPr>
          <w:rFonts w:ascii="Helvetica" w:eastAsia="Times New Roman" w:hAnsi="Helvetica" w:cs="Helvetica"/>
          <w:sz w:val="21"/>
          <w:szCs w:val="21"/>
        </w:rPr>
        <w:lastRenderedPageBreak/>
        <w:t>has its own unique characteristics, and because these characteristics change over time, SCE has built in processes to update them, he said.</w:t>
      </w:r>
    </w:p>
    <w:p w:rsidR="00152BF4" w:rsidRPr="00152BF4" w:rsidRDefault="00152BF4" w:rsidP="00152BF4">
      <w:pPr>
        <w:spacing w:after="360" w:line="360" w:lineRule="atLeast"/>
        <w:rPr>
          <w:rFonts w:ascii="Helvetica" w:eastAsia="Times New Roman" w:hAnsi="Helvetica" w:cs="Helvetica"/>
          <w:sz w:val="21"/>
          <w:szCs w:val="21"/>
        </w:rPr>
      </w:pPr>
      <w:r w:rsidRPr="00152BF4">
        <w:rPr>
          <w:rFonts w:ascii="Helvetica" w:eastAsia="Times New Roman" w:hAnsi="Helvetica" w:cs="Helvetica"/>
          <w:sz w:val="21"/>
          <w:szCs w:val="21"/>
        </w:rPr>
        <w:t xml:space="preserve">CPUC asked the state’s utilities to use their </w:t>
      </w:r>
      <w:hyperlink r:id="rId13" w:tgtFrame="_blank" w:history="1">
        <w:r w:rsidRPr="00152BF4">
          <w:rPr>
            <w:rFonts w:ascii="Helvetica" w:eastAsia="Times New Roman" w:hAnsi="Helvetica" w:cs="Helvetica"/>
            <w:color w:val="97AD78"/>
            <w:sz w:val="21"/>
            <w:szCs w:val="21"/>
            <w:bdr w:val="none" w:sz="0" w:space="0" w:color="auto" w:frame="1"/>
          </w:rPr>
          <w:t>Renewable Auction Mechanism</w:t>
        </w:r>
      </w:hyperlink>
      <w:r w:rsidRPr="00152BF4">
        <w:rPr>
          <w:rFonts w:ascii="Helvetica" w:eastAsia="Times New Roman" w:hAnsi="Helvetica" w:cs="Helvetica"/>
          <w:sz w:val="21"/>
          <w:szCs w:val="21"/>
        </w:rPr>
        <w:t xml:space="preserve"> (RAM) maps, developed to guide large-scale renewable energy project developers, as a model for bringing similar visibility deeper into the distribution grid. The software tool that SCE built is like a RAM map, but with far more detail on the hosting capacity of individual circuits for different types of DERs.</w:t>
      </w:r>
    </w:p>
    <w:p w:rsidR="00152BF4" w:rsidRPr="00152BF4" w:rsidRDefault="00152BF4" w:rsidP="00152BF4">
      <w:pPr>
        <w:spacing w:after="360" w:line="360" w:lineRule="atLeast"/>
        <w:rPr>
          <w:rFonts w:ascii="Helvetica" w:eastAsia="Times New Roman" w:hAnsi="Helvetica" w:cs="Helvetica"/>
          <w:sz w:val="21"/>
          <w:szCs w:val="21"/>
        </w:rPr>
      </w:pPr>
      <w:r w:rsidRPr="00152BF4">
        <w:rPr>
          <w:rFonts w:ascii="Helvetica" w:eastAsia="Times New Roman" w:hAnsi="Helvetica" w:cs="Helvetica"/>
          <w:sz w:val="21"/>
          <w:szCs w:val="21"/>
        </w:rPr>
        <w:t>Here’s a screenshot from an SCE presentation, showing a single distribution circuit near Orange County’s John Wayne Airport.</w:t>
      </w:r>
    </w:p>
    <w:p w:rsidR="00152BF4" w:rsidRPr="00152BF4" w:rsidRDefault="00152BF4" w:rsidP="00152BF4">
      <w:pPr>
        <w:spacing w:after="360" w:line="360" w:lineRule="atLeast"/>
        <w:rPr>
          <w:rFonts w:ascii="Helvetica" w:eastAsia="Times New Roman" w:hAnsi="Helvetica" w:cs="Helvetica"/>
          <w:sz w:val="21"/>
          <w:szCs w:val="21"/>
        </w:rPr>
      </w:pPr>
      <w:r>
        <w:rPr>
          <w:rFonts w:ascii="Helvetica" w:eastAsia="Times New Roman" w:hAnsi="Helvetica" w:cs="Helvetica"/>
          <w:noProof/>
          <w:sz w:val="21"/>
          <w:szCs w:val="21"/>
        </w:rPr>
        <w:drawing>
          <wp:inline distT="0" distB="0" distL="0" distR="0">
            <wp:extent cx="5524500" cy="2606040"/>
            <wp:effectExtent l="0" t="0" r="0" b="3810"/>
            <wp:docPr id="3" name="Picture 3" descr="http://dqbasmyouzti2.cloudfront.net/assets/content/cache/made/content/images/articles/DRP_SoCalEdison_ICAmap_XL_580_27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dqbasmyouzti2.cloudfront.net/assets/content/cache/made/content/images/articles/DRP_SoCalEdison_ICAmap_XL_580_274.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524500" cy="2606040"/>
                    </a:xfrm>
                    <a:prstGeom prst="rect">
                      <a:avLst/>
                    </a:prstGeom>
                    <a:noFill/>
                    <a:ln>
                      <a:noFill/>
                    </a:ln>
                  </pic:spPr>
                </pic:pic>
              </a:graphicData>
            </a:graphic>
          </wp:inline>
        </w:drawing>
      </w:r>
    </w:p>
    <w:p w:rsidR="00152BF4" w:rsidRPr="00152BF4" w:rsidRDefault="00152BF4" w:rsidP="00152BF4">
      <w:pPr>
        <w:spacing w:after="360" w:line="360" w:lineRule="atLeast"/>
        <w:rPr>
          <w:rFonts w:ascii="Helvetica" w:eastAsia="Times New Roman" w:hAnsi="Helvetica" w:cs="Helvetica"/>
          <w:sz w:val="21"/>
          <w:szCs w:val="21"/>
        </w:rPr>
      </w:pPr>
      <w:r w:rsidRPr="00152BF4">
        <w:rPr>
          <w:rFonts w:ascii="Helvetica" w:eastAsia="Times New Roman" w:hAnsi="Helvetica" w:cs="Helvetica"/>
          <w:sz w:val="21"/>
          <w:szCs w:val="21"/>
        </w:rPr>
        <w:t>“For any distribution circuit, you’d see a map, and each circuit is divided into four segments,” he said. Each of the four segments has a different amount of DER that it can reliably handle, depending on whether it’s adding power to the circuit -- solar PV, demand response, or batteries in a state of discharge, for example -- or drawing power, largely in the form of EV or battery charging.</w:t>
      </w:r>
    </w:p>
    <w:p w:rsidR="00152BF4" w:rsidRPr="00152BF4" w:rsidRDefault="00152BF4" w:rsidP="00152BF4">
      <w:pPr>
        <w:spacing w:after="360" w:line="360" w:lineRule="atLeast"/>
        <w:rPr>
          <w:rFonts w:ascii="Helvetica" w:eastAsia="Times New Roman" w:hAnsi="Helvetica" w:cs="Helvetica"/>
          <w:sz w:val="21"/>
          <w:szCs w:val="21"/>
        </w:rPr>
      </w:pPr>
      <w:r w:rsidRPr="00152BF4">
        <w:rPr>
          <w:rFonts w:ascii="Helvetica" w:eastAsia="Times New Roman" w:hAnsi="Helvetica" w:cs="Helvetica"/>
          <w:sz w:val="21"/>
          <w:szCs w:val="21"/>
        </w:rPr>
        <w:t> “It’s technology-agonistic, and it gives third parties a sense of how much capacity we have in both power-flow directions,” he said. “To the degree you can use this today, it can give a better idea for third parties looking to install these DERs, where they can locate without triggering any additional issues,” he said.</w:t>
      </w:r>
    </w:p>
    <w:p w:rsidR="00152BF4" w:rsidRPr="00152BF4" w:rsidRDefault="00152BF4" w:rsidP="00152BF4">
      <w:pPr>
        <w:spacing w:after="360" w:line="360" w:lineRule="atLeast"/>
        <w:rPr>
          <w:rFonts w:ascii="Helvetica" w:eastAsia="Times New Roman" w:hAnsi="Helvetica" w:cs="Helvetica"/>
          <w:sz w:val="21"/>
          <w:szCs w:val="21"/>
        </w:rPr>
      </w:pPr>
      <w:r w:rsidRPr="00152BF4">
        <w:rPr>
          <w:rFonts w:ascii="Helvetica" w:eastAsia="Times New Roman" w:hAnsi="Helvetica" w:cs="Helvetica"/>
          <w:sz w:val="21"/>
          <w:szCs w:val="21"/>
        </w:rPr>
        <w:t xml:space="preserve">In a way, this is a bit like </w:t>
      </w:r>
      <w:hyperlink r:id="rId15" w:history="1">
        <w:r w:rsidRPr="00152BF4">
          <w:rPr>
            <w:rFonts w:ascii="Helvetica" w:eastAsia="Times New Roman" w:hAnsi="Helvetica" w:cs="Helvetica"/>
            <w:color w:val="97AD78"/>
            <w:sz w:val="21"/>
            <w:szCs w:val="21"/>
            <w:bdr w:val="none" w:sz="0" w:space="0" w:color="auto" w:frame="1"/>
          </w:rPr>
          <w:t>the “click-and-claim” concept</w:t>
        </w:r>
      </w:hyperlink>
      <w:r w:rsidRPr="00152BF4">
        <w:rPr>
          <w:rFonts w:ascii="Helvetica" w:eastAsia="Times New Roman" w:hAnsi="Helvetica" w:cs="Helvetica"/>
          <w:sz w:val="21"/>
          <w:szCs w:val="21"/>
        </w:rPr>
        <w:t xml:space="preserve"> that GTM contributor Tam Hunt laid out in an article last year, and it’s one of the key features that third-party DER companies like </w:t>
      </w:r>
      <w:proofErr w:type="spellStart"/>
      <w:r w:rsidRPr="00152BF4">
        <w:rPr>
          <w:rFonts w:ascii="Helvetica" w:eastAsia="Times New Roman" w:hAnsi="Helvetica" w:cs="Helvetica"/>
          <w:sz w:val="21"/>
          <w:szCs w:val="21"/>
        </w:rPr>
        <w:t>SolarCity</w:t>
      </w:r>
      <w:proofErr w:type="spellEnd"/>
      <w:r w:rsidRPr="00152BF4">
        <w:rPr>
          <w:rFonts w:ascii="Helvetica" w:eastAsia="Times New Roman" w:hAnsi="Helvetica" w:cs="Helvetica"/>
          <w:sz w:val="21"/>
          <w:szCs w:val="21"/>
        </w:rPr>
        <w:t xml:space="preserve"> have </w:t>
      </w:r>
      <w:r w:rsidRPr="00152BF4">
        <w:rPr>
          <w:rFonts w:ascii="Helvetica" w:eastAsia="Times New Roman" w:hAnsi="Helvetica" w:cs="Helvetica"/>
          <w:sz w:val="21"/>
          <w:szCs w:val="21"/>
        </w:rPr>
        <w:lastRenderedPageBreak/>
        <w:t xml:space="preserve">been asking for out of the DRPs. But it’s not all that they want. The next step is figuring out not just where DERs can be located without problems, but </w:t>
      </w:r>
      <w:hyperlink r:id="rId16" w:history="1">
        <w:r w:rsidRPr="00152BF4">
          <w:rPr>
            <w:rFonts w:ascii="Helvetica" w:eastAsia="Times New Roman" w:hAnsi="Helvetica" w:cs="Helvetica"/>
            <w:color w:val="97AD78"/>
            <w:sz w:val="21"/>
            <w:szCs w:val="21"/>
            <w:bdr w:val="none" w:sz="0" w:space="0" w:color="auto" w:frame="1"/>
          </w:rPr>
          <w:t>how they can play a positive role</w:t>
        </w:r>
      </w:hyperlink>
      <w:r w:rsidRPr="00152BF4">
        <w:rPr>
          <w:rFonts w:ascii="Helvetica" w:eastAsia="Times New Roman" w:hAnsi="Helvetica" w:cs="Helvetica"/>
          <w:sz w:val="21"/>
          <w:szCs w:val="21"/>
        </w:rPr>
        <w:t xml:space="preserve"> on the grid. </w:t>
      </w:r>
    </w:p>
    <w:p w:rsidR="00152BF4" w:rsidRPr="00152BF4" w:rsidRDefault="00152BF4" w:rsidP="00152BF4">
      <w:pPr>
        <w:spacing w:after="0" w:line="336" w:lineRule="atLeast"/>
        <w:outlineLvl w:val="2"/>
        <w:rPr>
          <w:rFonts w:ascii="Helvetica" w:eastAsia="Times New Roman" w:hAnsi="Helvetica" w:cs="Helvetica"/>
          <w:b/>
          <w:bCs/>
          <w:sz w:val="30"/>
          <w:szCs w:val="30"/>
        </w:rPr>
      </w:pPr>
      <w:r w:rsidRPr="00152BF4">
        <w:rPr>
          <w:rFonts w:ascii="Helvetica" w:eastAsia="Times New Roman" w:hAnsi="Helvetica" w:cs="Helvetica"/>
          <w:b/>
          <w:bCs/>
          <w:sz w:val="30"/>
          <w:szCs w:val="30"/>
        </w:rPr>
        <w:t>Building the costs and benefits of DERs into utility imperatives</w:t>
      </w:r>
    </w:p>
    <w:p w:rsidR="00152BF4" w:rsidRPr="00152BF4" w:rsidRDefault="00152BF4" w:rsidP="00152BF4">
      <w:pPr>
        <w:spacing w:after="360" w:line="360" w:lineRule="atLeast"/>
        <w:rPr>
          <w:rFonts w:ascii="Helvetica" w:eastAsia="Times New Roman" w:hAnsi="Helvetica" w:cs="Helvetica"/>
          <w:sz w:val="21"/>
          <w:szCs w:val="21"/>
        </w:rPr>
      </w:pPr>
      <w:r w:rsidRPr="00152BF4">
        <w:rPr>
          <w:rFonts w:ascii="Helvetica" w:eastAsia="Times New Roman" w:hAnsi="Helvetica" w:cs="Helvetica"/>
          <w:sz w:val="21"/>
          <w:szCs w:val="21"/>
        </w:rPr>
        <w:t xml:space="preserve">That’s a more complicated calculation than simply setting maximum DER interconnection levels. In the DRPs, this next step is called Locational Net Benefits Methodology, or LNBM, </w:t>
      </w:r>
      <w:proofErr w:type="spellStart"/>
      <w:r w:rsidRPr="00152BF4">
        <w:rPr>
          <w:rFonts w:ascii="Helvetica" w:eastAsia="Times New Roman" w:hAnsi="Helvetica" w:cs="Helvetica"/>
          <w:sz w:val="21"/>
          <w:szCs w:val="21"/>
        </w:rPr>
        <w:t>Takayesu</w:t>
      </w:r>
      <w:proofErr w:type="spellEnd"/>
      <w:r w:rsidRPr="00152BF4">
        <w:rPr>
          <w:rFonts w:ascii="Helvetica" w:eastAsia="Times New Roman" w:hAnsi="Helvetica" w:cs="Helvetica"/>
          <w:sz w:val="21"/>
          <w:szCs w:val="21"/>
        </w:rPr>
        <w:t xml:space="preserve"> said.</w:t>
      </w:r>
    </w:p>
    <w:p w:rsidR="00152BF4" w:rsidRPr="00152BF4" w:rsidRDefault="00152BF4" w:rsidP="00152BF4">
      <w:pPr>
        <w:spacing w:after="360" w:line="360" w:lineRule="atLeast"/>
        <w:rPr>
          <w:rFonts w:ascii="Helvetica" w:eastAsia="Times New Roman" w:hAnsi="Helvetica" w:cs="Helvetica"/>
          <w:sz w:val="21"/>
          <w:szCs w:val="21"/>
        </w:rPr>
      </w:pPr>
      <w:r w:rsidRPr="00152BF4">
        <w:rPr>
          <w:rFonts w:ascii="Helvetica" w:eastAsia="Times New Roman" w:hAnsi="Helvetica" w:cs="Helvetica"/>
          <w:sz w:val="21"/>
          <w:szCs w:val="21"/>
        </w:rPr>
        <w:t xml:space="preserve">CPUC’s guidance required all three utilities’ DRPs to unify their approaches to calculating these locational benefits, starting with an analysis of DER avoided costs (DERAC) provided by consultancy E3. Working with PG&amp;E and SDG&amp;E, as well as the nonprofit group </w:t>
      </w:r>
      <w:hyperlink r:id="rId17" w:history="1">
        <w:r w:rsidRPr="00152BF4">
          <w:rPr>
            <w:rFonts w:ascii="Helvetica" w:eastAsia="Times New Roman" w:hAnsi="Helvetica" w:cs="Helvetica"/>
            <w:color w:val="97AD78"/>
            <w:sz w:val="21"/>
            <w:szCs w:val="21"/>
            <w:bdr w:val="none" w:sz="0" w:space="0" w:color="auto" w:frame="1"/>
          </w:rPr>
          <w:t>More Than Smart</w:t>
        </w:r>
      </w:hyperlink>
      <w:r w:rsidRPr="00152BF4">
        <w:rPr>
          <w:rFonts w:ascii="Helvetica" w:eastAsia="Times New Roman" w:hAnsi="Helvetica" w:cs="Helvetica"/>
          <w:sz w:val="21"/>
          <w:szCs w:val="21"/>
        </w:rPr>
        <w:t>, SCE came up with a framework for how it will calculate the costs and benefits of DERs across nine categories important to grid planners, he said. This chart from SCE’s presentation shows some of the key categories being measured.</w:t>
      </w:r>
    </w:p>
    <w:p w:rsidR="00152BF4" w:rsidRPr="00152BF4" w:rsidRDefault="00152BF4" w:rsidP="00152BF4">
      <w:pPr>
        <w:spacing w:after="360" w:line="360" w:lineRule="atLeast"/>
        <w:rPr>
          <w:rFonts w:ascii="Helvetica" w:eastAsia="Times New Roman" w:hAnsi="Helvetica" w:cs="Helvetica"/>
          <w:sz w:val="21"/>
          <w:szCs w:val="21"/>
        </w:rPr>
      </w:pPr>
      <w:r>
        <w:rPr>
          <w:rFonts w:ascii="Helvetica" w:eastAsia="Times New Roman" w:hAnsi="Helvetica" w:cs="Helvetica"/>
          <w:noProof/>
          <w:sz w:val="21"/>
          <w:szCs w:val="21"/>
        </w:rPr>
        <w:drawing>
          <wp:inline distT="0" distB="0" distL="0" distR="0">
            <wp:extent cx="5524500" cy="3726180"/>
            <wp:effectExtent l="0" t="0" r="0" b="7620"/>
            <wp:docPr id="2" name="Picture 2" descr="http://dqbasmyouzti2.cloudfront.net/assets/content/cache/made/content/images/articles/DRP_SoCalEdison_LNBMchart_XL_580_3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dqbasmyouzti2.cloudfront.net/assets/content/cache/made/content/images/articles/DRP_SoCalEdison_LNBMchart_XL_580_391.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524500" cy="3726180"/>
                    </a:xfrm>
                    <a:prstGeom prst="rect">
                      <a:avLst/>
                    </a:prstGeom>
                    <a:noFill/>
                    <a:ln>
                      <a:noFill/>
                    </a:ln>
                  </pic:spPr>
                </pic:pic>
              </a:graphicData>
            </a:graphic>
          </wp:inline>
        </w:drawing>
      </w:r>
    </w:p>
    <w:p w:rsidR="00152BF4" w:rsidRPr="00152BF4" w:rsidRDefault="00152BF4" w:rsidP="00152BF4">
      <w:pPr>
        <w:spacing w:after="360" w:line="360" w:lineRule="atLeast"/>
        <w:rPr>
          <w:rFonts w:ascii="Helvetica" w:eastAsia="Times New Roman" w:hAnsi="Helvetica" w:cs="Helvetica"/>
          <w:sz w:val="21"/>
          <w:szCs w:val="21"/>
        </w:rPr>
      </w:pPr>
      <w:r w:rsidRPr="00152BF4">
        <w:rPr>
          <w:rFonts w:ascii="Helvetica" w:eastAsia="Times New Roman" w:hAnsi="Helvetica" w:cs="Helvetica"/>
          <w:sz w:val="21"/>
          <w:szCs w:val="21"/>
        </w:rPr>
        <w:t xml:space="preserve">“We think that this framework will be useful in helping to identify, rank and prioritize locations where there will be net benefits,” </w:t>
      </w:r>
      <w:proofErr w:type="spellStart"/>
      <w:r w:rsidRPr="00152BF4">
        <w:rPr>
          <w:rFonts w:ascii="Helvetica" w:eastAsia="Times New Roman" w:hAnsi="Helvetica" w:cs="Helvetica"/>
          <w:sz w:val="21"/>
          <w:szCs w:val="21"/>
        </w:rPr>
        <w:t>Takayesu</w:t>
      </w:r>
      <w:proofErr w:type="spellEnd"/>
      <w:r w:rsidRPr="00152BF4">
        <w:rPr>
          <w:rFonts w:ascii="Helvetica" w:eastAsia="Times New Roman" w:hAnsi="Helvetica" w:cs="Helvetica"/>
          <w:sz w:val="21"/>
          <w:szCs w:val="21"/>
        </w:rPr>
        <w:t xml:space="preserve"> said. “There are some very specific categories -- one of the avoided cost categories is for avoided sub-transmission, substation and feeder capital expenditures,” he said.</w:t>
      </w:r>
    </w:p>
    <w:p w:rsidR="00152BF4" w:rsidRPr="00152BF4" w:rsidRDefault="00152BF4" w:rsidP="00152BF4">
      <w:pPr>
        <w:spacing w:after="360" w:line="360" w:lineRule="atLeast"/>
        <w:rPr>
          <w:rFonts w:ascii="Helvetica" w:eastAsia="Times New Roman" w:hAnsi="Helvetica" w:cs="Helvetica"/>
          <w:sz w:val="21"/>
          <w:szCs w:val="21"/>
        </w:rPr>
      </w:pPr>
      <w:r w:rsidRPr="00152BF4">
        <w:rPr>
          <w:rFonts w:ascii="Helvetica" w:eastAsia="Times New Roman" w:hAnsi="Helvetica" w:cs="Helvetica"/>
          <w:sz w:val="21"/>
          <w:szCs w:val="21"/>
        </w:rPr>
        <w:lastRenderedPageBreak/>
        <w:t>There are also avoided distribution voltage and power quality categories, and others centered on DERs' effect on grid reliability and resiliency. “Then there are larger area types of categories, such as flexible resource adequacy, integration costs, societal avoided cost, and avoided public safety costs,” he said.</w:t>
      </w:r>
    </w:p>
    <w:p w:rsidR="00152BF4" w:rsidRPr="00152BF4" w:rsidRDefault="00152BF4" w:rsidP="00152BF4">
      <w:pPr>
        <w:spacing w:after="360" w:line="360" w:lineRule="atLeast"/>
        <w:rPr>
          <w:rFonts w:ascii="Helvetica" w:eastAsia="Times New Roman" w:hAnsi="Helvetica" w:cs="Helvetica"/>
          <w:sz w:val="21"/>
          <w:szCs w:val="21"/>
        </w:rPr>
      </w:pPr>
      <w:r w:rsidRPr="00152BF4">
        <w:rPr>
          <w:rFonts w:ascii="Helvetica" w:eastAsia="Times New Roman" w:hAnsi="Helvetica" w:cs="Helvetica"/>
          <w:sz w:val="21"/>
          <w:szCs w:val="21"/>
        </w:rPr>
        <w:t>One of the most important categories to focus on is avoided capacity cost. “It really comes down to the integration into the utility's annual capital-planning processes,” he said. “Every year, we have an annual process where we forecast growth for our circuits and substations. We compare that forecast of demand to the rating of our facilities, and recommend least-cost solutions to meet that load growth.”</w:t>
      </w:r>
    </w:p>
    <w:p w:rsidR="00152BF4" w:rsidRPr="00152BF4" w:rsidRDefault="00152BF4" w:rsidP="00152BF4">
      <w:pPr>
        <w:spacing w:after="360" w:line="360" w:lineRule="atLeast"/>
        <w:rPr>
          <w:rFonts w:ascii="Helvetica" w:eastAsia="Times New Roman" w:hAnsi="Helvetica" w:cs="Helvetica"/>
          <w:sz w:val="21"/>
          <w:szCs w:val="21"/>
        </w:rPr>
      </w:pPr>
      <w:r w:rsidRPr="00152BF4">
        <w:rPr>
          <w:rFonts w:ascii="Helvetica" w:eastAsia="Times New Roman" w:hAnsi="Helvetica" w:cs="Helvetica"/>
          <w:sz w:val="21"/>
          <w:szCs w:val="21"/>
        </w:rPr>
        <w:t xml:space="preserve">These least-cost solutions haven’t effectively included DERs as an option before. But under this new methodology, “we can compare projects that are potential candidates for DERs to have benefits, to understand </w:t>
      </w:r>
      <w:proofErr w:type="gramStart"/>
      <w:r w:rsidRPr="00152BF4">
        <w:rPr>
          <w:rFonts w:ascii="Helvetica" w:eastAsia="Times New Roman" w:hAnsi="Helvetica" w:cs="Helvetica"/>
          <w:sz w:val="21"/>
          <w:szCs w:val="21"/>
        </w:rPr>
        <w:t>what’s the most appropriate approach</w:t>
      </w:r>
      <w:proofErr w:type="gramEnd"/>
      <w:r w:rsidRPr="00152BF4">
        <w:rPr>
          <w:rFonts w:ascii="Helvetica" w:eastAsia="Times New Roman" w:hAnsi="Helvetica" w:cs="Helvetica"/>
          <w:sz w:val="21"/>
          <w:szCs w:val="21"/>
        </w:rPr>
        <w:t>,” he said.</w:t>
      </w:r>
    </w:p>
    <w:p w:rsidR="00152BF4" w:rsidRPr="00152BF4" w:rsidRDefault="00152BF4" w:rsidP="00152BF4">
      <w:pPr>
        <w:spacing w:after="360" w:line="360" w:lineRule="atLeast"/>
        <w:rPr>
          <w:rFonts w:ascii="Helvetica" w:eastAsia="Times New Roman" w:hAnsi="Helvetica" w:cs="Helvetica"/>
          <w:sz w:val="21"/>
          <w:szCs w:val="21"/>
        </w:rPr>
      </w:pPr>
      <w:r w:rsidRPr="00152BF4">
        <w:rPr>
          <w:rFonts w:ascii="Helvetica" w:eastAsia="Times New Roman" w:hAnsi="Helvetica" w:cs="Helvetica"/>
          <w:sz w:val="21"/>
          <w:szCs w:val="21"/>
        </w:rPr>
        <w:t xml:space="preserve">That’s a highly variable calculation, depending on the situation on individual circuits. As a </w:t>
      </w:r>
      <w:hyperlink r:id="rId19" w:history="1">
        <w:r w:rsidRPr="00152BF4">
          <w:rPr>
            <w:rFonts w:ascii="Helvetica" w:eastAsia="Times New Roman" w:hAnsi="Helvetica" w:cs="Helvetica"/>
            <w:color w:val="97AD78"/>
            <w:sz w:val="21"/>
            <w:szCs w:val="21"/>
            <w:bdr w:val="none" w:sz="0" w:space="0" w:color="auto" w:frame="1"/>
          </w:rPr>
          <w:t>recent UC Berkeley study pointed out</w:t>
        </w:r>
      </w:hyperlink>
      <w:r w:rsidRPr="00152BF4">
        <w:rPr>
          <w:rFonts w:ascii="Helvetica" w:eastAsia="Times New Roman" w:hAnsi="Helvetica" w:cs="Helvetica"/>
          <w:sz w:val="21"/>
          <w:szCs w:val="21"/>
        </w:rPr>
        <w:t>, most distribution circuits aren’t at the point where they need immediate upgrades to handle peak daily capacity. But the few that are could see outsized benefits from DERs that reduce their peak loads, saving the utilities responsible for upgrading them a lot of money.</w:t>
      </w:r>
    </w:p>
    <w:p w:rsidR="00152BF4" w:rsidRPr="00152BF4" w:rsidRDefault="00152BF4" w:rsidP="00152BF4">
      <w:pPr>
        <w:spacing w:after="360" w:line="360" w:lineRule="atLeast"/>
        <w:rPr>
          <w:rFonts w:ascii="Helvetica" w:eastAsia="Times New Roman" w:hAnsi="Helvetica" w:cs="Helvetica"/>
          <w:sz w:val="21"/>
          <w:szCs w:val="21"/>
        </w:rPr>
      </w:pPr>
      <w:r w:rsidRPr="00152BF4">
        <w:rPr>
          <w:rFonts w:ascii="Helvetica" w:eastAsia="Times New Roman" w:hAnsi="Helvetica" w:cs="Helvetica"/>
          <w:sz w:val="21"/>
          <w:szCs w:val="21"/>
        </w:rPr>
        <w:t>These planning efforts are part of a utility’s general rate case (GRC), which comes once every three years, each California utility taking its turn each year. SCE is filing its GRC next year, and “we are going to have a description about integration the DRP into the planning process, and mapping that to the general rate case,” he said.</w:t>
      </w:r>
    </w:p>
    <w:p w:rsidR="00152BF4" w:rsidRPr="00152BF4" w:rsidRDefault="00152BF4" w:rsidP="00152BF4">
      <w:pPr>
        <w:spacing w:after="0" w:line="336" w:lineRule="atLeast"/>
        <w:outlineLvl w:val="2"/>
        <w:rPr>
          <w:rFonts w:ascii="Helvetica" w:eastAsia="Times New Roman" w:hAnsi="Helvetica" w:cs="Helvetica"/>
          <w:b/>
          <w:bCs/>
          <w:sz w:val="30"/>
          <w:szCs w:val="30"/>
        </w:rPr>
      </w:pPr>
      <w:r w:rsidRPr="00152BF4">
        <w:rPr>
          <w:rFonts w:ascii="Helvetica" w:eastAsia="Times New Roman" w:hAnsi="Helvetica" w:cs="Helvetica"/>
          <w:b/>
          <w:bCs/>
          <w:sz w:val="30"/>
          <w:szCs w:val="30"/>
        </w:rPr>
        <w:t xml:space="preserve">Piloting the multi-technology DER </w:t>
      </w:r>
      <w:proofErr w:type="spellStart"/>
      <w:r w:rsidRPr="00152BF4">
        <w:rPr>
          <w:rFonts w:ascii="Helvetica" w:eastAsia="Times New Roman" w:hAnsi="Helvetica" w:cs="Helvetica"/>
          <w:b/>
          <w:bCs/>
          <w:sz w:val="30"/>
          <w:szCs w:val="30"/>
        </w:rPr>
        <w:t>gridscape</w:t>
      </w:r>
      <w:proofErr w:type="spellEnd"/>
    </w:p>
    <w:p w:rsidR="00152BF4" w:rsidRPr="00152BF4" w:rsidRDefault="00152BF4" w:rsidP="00152BF4">
      <w:pPr>
        <w:spacing w:after="360" w:line="360" w:lineRule="atLeast"/>
        <w:rPr>
          <w:rFonts w:ascii="Helvetica" w:eastAsia="Times New Roman" w:hAnsi="Helvetica" w:cs="Helvetica"/>
          <w:sz w:val="21"/>
          <w:szCs w:val="21"/>
        </w:rPr>
      </w:pPr>
      <w:r w:rsidRPr="00152BF4">
        <w:rPr>
          <w:rFonts w:ascii="Helvetica" w:eastAsia="Times New Roman" w:hAnsi="Helvetica" w:cs="Helvetica"/>
          <w:sz w:val="21"/>
          <w:szCs w:val="21"/>
        </w:rPr>
        <w:t>But even the relatively simple concept of capacity deferral gets complicated when the diversity of DER options comes into play. And that’s not including the more complex calculation of how all these multiple categories of values balance out, both at a local and system-wide level.</w:t>
      </w:r>
    </w:p>
    <w:p w:rsidR="00152BF4" w:rsidRPr="00152BF4" w:rsidRDefault="00152BF4" w:rsidP="00152BF4">
      <w:pPr>
        <w:spacing w:after="360" w:line="360" w:lineRule="atLeast"/>
        <w:rPr>
          <w:rFonts w:ascii="Helvetica" w:eastAsia="Times New Roman" w:hAnsi="Helvetica" w:cs="Helvetica"/>
          <w:sz w:val="21"/>
          <w:szCs w:val="21"/>
        </w:rPr>
      </w:pPr>
      <w:r w:rsidRPr="00152BF4">
        <w:rPr>
          <w:rFonts w:ascii="Helvetica" w:eastAsia="Times New Roman" w:hAnsi="Helvetica" w:cs="Helvetica"/>
          <w:sz w:val="21"/>
          <w:szCs w:val="21"/>
        </w:rPr>
        <w:t xml:space="preserve">To get a better grasp of how this will work, SCE is launching five separate pilot projects over the coming years, each testing a different aspect of the DER integration puzzle, </w:t>
      </w:r>
      <w:proofErr w:type="spellStart"/>
      <w:r w:rsidRPr="00152BF4">
        <w:rPr>
          <w:rFonts w:ascii="Helvetica" w:eastAsia="Times New Roman" w:hAnsi="Helvetica" w:cs="Helvetica"/>
          <w:sz w:val="21"/>
          <w:szCs w:val="21"/>
        </w:rPr>
        <w:t>Takayesu</w:t>
      </w:r>
      <w:proofErr w:type="spellEnd"/>
      <w:r w:rsidRPr="00152BF4">
        <w:rPr>
          <w:rFonts w:ascii="Helvetica" w:eastAsia="Times New Roman" w:hAnsi="Helvetica" w:cs="Helvetica"/>
          <w:sz w:val="21"/>
          <w:szCs w:val="21"/>
        </w:rPr>
        <w:t xml:space="preserve"> said. It may be a bit ahead of its fellow utilities on this front, because it’s already deep into another pilot project that will serve as the foundation for these new DRP tests.</w:t>
      </w:r>
    </w:p>
    <w:p w:rsidR="00152BF4" w:rsidRPr="00152BF4" w:rsidRDefault="00152BF4" w:rsidP="00152BF4">
      <w:pPr>
        <w:spacing w:after="360" w:line="360" w:lineRule="atLeast"/>
        <w:rPr>
          <w:rFonts w:ascii="Helvetica" w:eastAsia="Times New Roman" w:hAnsi="Helvetica" w:cs="Helvetica"/>
          <w:sz w:val="21"/>
          <w:szCs w:val="21"/>
        </w:rPr>
      </w:pPr>
      <w:r w:rsidRPr="00152BF4">
        <w:rPr>
          <w:rFonts w:ascii="Helvetica" w:eastAsia="Times New Roman" w:hAnsi="Helvetica" w:cs="Helvetica"/>
          <w:sz w:val="21"/>
          <w:szCs w:val="21"/>
        </w:rPr>
        <w:lastRenderedPageBreak/>
        <w:t xml:space="preserve">These existing projects are in Orange County, where SCE is facing significant long-term challenges to augment a grid that’s facing a double whammy in lost capacity: the closure of the San </w:t>
      </w:r>
      <w:proofErr w:type="spellStart"/>
      <w:r w:rsidRPr="00152BF4">
        <w:rPr>
          <w:rFonts w:ascii="Helvetica" w:eastAsia="Times New Roman" w:hAnsi="Helvetica" w:cs="Helvetica"/>
          <w:sz w:val="21"/>
          <w:szCs w:val="21"/>
        </w:rPr>
        <w:t>Onofre</w:t>
      </w:r>
      <w:proofErr w:type="spellEnd"/>
      <w:r w:rsidRPr="00152BF4">
        <w:rPr>
          <w:rFonts w:ascii="Helvetica" w:eastAsia="Times New Roman" w:hAnsi="Helvetica" w:cs="Helvetica"/>
          <w:sz w:val="21"/>
          <w:szCs w:val="21"/>
        </w:rPr>
        <w:t xml:space="preserve"> Nuclear Generating Station and the coming closure of seawater-cooled, natural-gas-fired power plants under state water regulations. Last year, Southern California Edison signed long-term procurement agreements for </w:t>
      </w:r>
      <w:hyperlink r:id="rId20" w:history="1">
        <w:r w:rsidRPr="00152BF4">
          <w:rPr>
            <w:rFonts w:ascii="Helvetica" w:eastAsia="Times New Roman" w:hAnsi="Helvetica" w:cs="Helvetica"/>
            <w:color w:val="97AD78"/>
            <w:sz w:val="21"/>
            <w:szCs w:val="21"/>
            <w:bdr w:val="none" w:sz="0" w:space="0" w:color="auto" w:frame="1"/>
          </w:rPr>
          <w:t>hundreds of megawatts of distributed energy</w:t>
        </w:r>
      </w:hyperlink>
      <w:r w:rsidRPr="00152BF4">
        <w:rPr>
          <w:rFonts w:ascii="Helvetica" w:eastAsia="Times New Roman" w:hAnsi="Helvetica" w:cs="Helvetica"/>
          <w:sz w:val="21"/>
          <w:szCs w:val="21"/>
        </w:rPr>
        <w:t xml:space="preserve"> resources to help meet these long-term capacity needs, tapping companies including Stem, </w:t>
      </w:r>
      <w:proofErr w:type="spellStart"/>
      <w:r w:rsidRPr="00152BF4">
        <w:rPr>
          <w:rFonts w:ascii="Helvetica" w:eastAsia="Times New Roman" w:hAnsi="Helvetica" w:cs="Helvetica"/>
          <w:sz w:val="21"/>
          <w:szCs w:val="21"/>
        </w:rPr>
        <w:t>SunPower</w:t>
      </w:r>
      <w:proofErr w:type="spellEnd"/>
      <w:r w:rsidRPr="00152BF4">
        <w:rPr>
          <w:rFonts w:ascii="Helvetica" w:eastAsia="Times New Roman" w:hAnsi="Helvetica" w:cs="Helvetica"/>
          <w:sz w:val="21"/>
          <w:szCs w:val="21"/>
        </w:rPr>
        <w:t xml:space="preserve">, Advanced </w:t>
      </w:r>
      <w:proofErr w:type="spellStart"/>
      <w:r w:rsidRPr="00152BF4">
        <w:rPr>
          <w:rFonts w:ascii="Helvetica" w:eastAsia="Times New Roman" w:hAnsi="Helvetica" w:cs="Helvetica"/>
          <w:sz w:val="21"/>
          <w:szCs w:val="21"/>
        </w:rPr>
        <w:t>Microgrid</w:t>
      </w:r>
      <w:proofErr w:type="spellEnd"/>
      <w:r w:rsidRPr="00152BF4">
        <w:rPr>
          <w:rFonts w:ascii="Helvetica" w:eastAsia="Times New Roman" w:hAnsi="Helvetica" w:cs="Helvetica"/>
          <w:sz w:val="21"/>
          <w:szCs w:val="21"/>
        </w:rPr>
        <w:t xml:space="preserve"> Solutions, Ice Energy and NRG Energy.</w:t>
      </w:r>
    </w:p>
    <w:p w:rsidR="00152BF4" w:rsidRPr="00152BF4" w:rsidRDefault="00152BF4" w:rsidP="00152BF4">
      <w:pPr>
        <w:spacing w:after="360" w:line="360" w:lineRule="atLeast"/>
        <w:rPr>
          <w:rFonts w:ascii="Helvetica" w:eastAsia="Times New Roman" w:hAnsi="Helvetica" w:cs="Helvetica"/>
          <w:sz w:val="21"/>
          <w:szCs w:val="21"/>
        </w:rPr>
      </w:pPr>
      <w:r w:rsidRPr="00152BF4">
        <w:rPr>
          <w:rFonts w:ascii="Helvetica" w:eastAsia="Times New Roman" w:hAnsi="Helvetica" w:cs="Helvetica"/>
          <w:sz w:val="21"/>
          <w:szCs w:val="21"/>
        </w:rPr>
        <w:t xml:space="preserve">Alongside that broader procurement, SCE set up a </w:t>
      </w:r>
      <w:hyperlink r:id="rId21" w:history="1">
        <w:r w:rsidRPr="00152BF4">
          <w:rPr>
            <w:rFonts w:ascii="Helvetica" w:eastAsia="Times New Roman" w:hAnsi="Helvetica" w:cs="Helvetica"/>
            <w:color w:val="97AD78"/>
            <w:sz w:val="21"/>
            <w:szCs w:val="21"/>
            <w:bdr w:val="none" w:sz="0" w:space="0" w:color="auto" w:frame="1"/>
          </w:rPr>
          <w:t>Preferred Resources Pilot (PRP)</w:t>
        </w:r>
      </w:hyperlink>
      <w:r w:rsidRPr="00152BF4">
        <w:rPr>
          <w:rFonts w:ascii="Helvetica" w:eastAsia="Times New Roman" w:hAnsi="Helvetica" w:cs="Helvetica"/>
          <w:sz w:val="21"/>
          <w:szCs w:val="21"/>
        </w:rPr>
        <w:t xml:space="preserve">, which is testing the ability of targeted energy efficiency, demand response, solar PV and energy storage to meet its local capacity needs. And within the PRP project boundaries is another pilot, funded by the state’s </w:t>
      </w:r>
      <w:hyperlink r:id="rId22" w:tgtFrame="_blank" w:history="1">
        <w:r w:rsidRPr="00152BF4">
          <w:rPr>
            <w:rFonts w:ascii="Helvetica" w:eastAsia="Times New Roman" w:hAnsi="Helvetica" w:cs="Helvetica"/>
            <w:color w:val="97AD78"/>
            <w:sz w:val="21"/>
            <w:szCs w:val="21"/>
            <w:bdr w:val="none" w:sz="0" w:space="0" w:color="auto" w:frame="1"/>
          </w:rPr>
          <w:t>Electric Program Investment Charge (EPIC)</w:t>
        </w:r>
      </w:hyperlink>
      <w:r w:rsidRPr="00152BF4">
        <w:rPr>
          <w:rFonts w:ascii="Helvetica" w:eastAsia="Times New Roman" w:hAnsi="Helvetica" w:cs="Helvetica"/>
          <w:sz w:val="21"/>
          <w:szCs w:val="21"/>
        </w:rPr>
        <w:t xml:space="preserve"> program, dubbed the Integrated Grid Project.</w:t>
      </w:r>
    </w:p>
    <w:p w:rsidR="00152BF4" w:rsidRPr="00152BF4" w:rsidRDefault="00152BF4" w:rsidP="00152BF4">
      <w:pPr>
        <w:spacing w:after="360" w:line="360" w:lineRule="atLeast"/>
        <w:rPr>
          <w:rFonts w:ascii="Helvetica" w:eastAsia="Times New Roman" w:hAnsi="Helvetica" w:cs="Helvetica"/>
          <w:sz w:val="21"/>
          <w:szCs w:val="21"/>
        </w:rPr>
      </w:pPr>
      <w:r>
        <w:rPr>
          <w:rFonts w:ascii="Helvetica" w:eastAsia="Times New Roman" w:hAnsi="Helvetica" w:cs="Helvetica"/>
          <w:noProof/>
          <w:sz w:val="21"/>
          <w:szCs w:val="21"/>
        </w:rPr>
        <w:drawing>
          <wp:inline distT="0" distB="0" distL="0" distR="0">
            <wp:extent cx="5242560" cy="4175760"/>
            <wp:effectExtent l="0" t="0" r="0" b="0"/>
            <wp:docPr id="1" name="Picture 1" descr="http://dqbasmyouzti2.cloudfront.net/content/images/articles/DRP_SoCalEdison_PRP-IGPmap_X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dqbasmyouzti2.cloudfront.net/content/images/articles/DRP_SoCalEdison_PRP-IGPmap_XL.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242560" cy="4175760"/>
                    </a:xfrm>
                    <a:prstGeom prst="rect">
                      <a:avLst/>
                    </a:prstGeom>
                    <a:noFill/>
                    <a:ln>
                      <a:noFill/>
                    </a:ln>
                  </pic:spPr>
                </pic:pic>
              </a:graphicData>
            </a:graphic>
          </wp:inline>
        </w:drawing>
      </w:r>
    </w:p>
    <w:p w:rsidR="00152BF4" w:rsidRPr="00152BF4" w:rsidRDefault="00152BF4" w:rsidP="00152BF4">
      <w:pPr>
        <w:spacing w:after="360" w:line="360" w:lineRule="atLeast"/>
        <w:rPr>
          <w:rFonts w:ascii="Helvetica" w:eastAsia="Times New Roman" w:hAnsi="Helvetica" w:cs="Helvetica"/>
          <w:sz w:val="21"/>
          <w:szCs w:val="21"/>
        </w:rPr>
      </w:pPr>
      <w:r w:rsidRPr="00152BF4">
        <w:rPr>
          <w:rFonts w:ascii="Helvetica" w:eastAsia="Times New Roman" w:hAnsi="Helvetica" w:cs="Helvetica"/>
          <w:sz w:val="21"/>
          <w:szCs w:val="21"/>
        </w:rPr>
        <w:t xml:space="preserve">These projects will be testing several combinations of DERs and utility controls, he said. One will demonstrate how multiple types of DERs can be operated together to attain at least three of the avoided-cost categories that SCE has laid out. Another will integrate SCE’s distribution management </w:t>
      </w:r>
      <w:r w:rsidRPr="00152BF4">
        <w:rPr>
          <w:rFonts w:ascii="Helvetica" w:eastAsia="Times New Roman" w:hAnsi="Helvetica" w:cs="Helvetica"/>
          <w:sz w:val="21"/>
          <w:szCs w:val="21"/>
        </w:rPr>
        <w:lastRenderedPageBreak/>
        <w:t xml:space="preserve">system (DMS) with customer-owned, aggregated DERs. And a third will involve the creation of a </w:t>
      </w:r>
      <w:proofErr w:type="spellStart"/>
      <w:r w:rsidRPr="00152BF4">
        <w:rPr>
          <w:rFonts w:ascii="Helvetica" w:eastAsia="Times New Roman" w:hAnsi="Helvetica" w:cs="Helvetica"/>
          <w:sz w:val="21"/>
          <w:szCs w:val="21"/>
        </w:rPr>
        <w:t>microgrid</w:t>
      </w:r>
      <w:proofErr w:type="spellEnd"/>
      <w:r w:rsidRPr="00152BF4">
        <w:rPr>
          <w:rFonts w:ascii="Helvetica" w:eastAsia="Times New Roman" w:hAnsi="Helvetica" w:cs="Helvetica"/>
          <w:sz w:val="21"/>
          <w:szCs w:val="21"/>
        </w:rPr>
        <w:t xml:space="preserve"> that can manage its collective energy resources in a way that can allow it to “island,” or disconnect itself from the larger grid, while also helping the utility manage its grid needs.</w:t>
      </w:r>
    </w:p>
    <w:p w:rsidR="00152BF4" w:rsidRPr="00152BF4" w:rsidRDefault="00152BF4" w:rsidP="00152BF4">
      <w:pPr>
        <w:spacing w:after="0" w:line="336" w:lineRule="atLeast"/>
        <w:outlineLvl w:val="2"/>
        <w:rPr>
          <w:rFonts w:ascii="Helvetica" w:eastAsia="Times New Roman" w:hAnsi="Helvetica" w:cs="Helvetica"/>
          <w:b/>
          <w:bCs/>
          <w:sz w:val="30"/>
          <w:szCs w:val="30"/>
        </w:rPr>
      </w:pPr>
      <w:r w:rsidRPr="00152BF4">
        <w:rPr>
          <w:rFonts w:ascii="Helvetica" w:eastAsia="Times New Roman" w:hAnsi="Helvetica" w:cs="Helvetica"/>
          <w:b/>
          <w:bCs/>
          <w:sz w:val="30"/>
          <w:szCs w:val="30"/>
        </w:rPr>
        <w:t xml:space="preserve">How to pay for the DER-integrated grid </w:t>
      </w:r>
    </w:p>
    <w:p w:rsidR="00152BF4" w:rsidRPr="00152BF4" w:rsidRDefault="00152BF4" w:rsidP="00152BF4">
      <w:pPr>
        <w:spacing w:after="360" w:line="360" w:lineRule="atLeast"/>
        <w:rPr>
          <w:rFonts w:ascii="Helvetica" w:eastAsia="Times New Roman" w:hAnsi="Helvetica" w:cs="Helvetica"/>
          <w:sz w:val="21"/>
          <w:szCs w:val="21"/>
        </w:rPr>
      </w:pPr>
      <w:r w:rsidRPr="00152BF4">
        <w:rPr>
          <w:rFonts w:ascii="Helvetica" w:eastAsia="Times New Roman" w:hAnsi="Helvetica" w:cs="Helvetica"/>
          <w:sz w:val="21"/>
          <w:szCs w:val="21"/>
        </w:rPr>
        <w:t xml:space="preserve">All of these projects will need to be paid for, as will future grid plans that take DERs into account. But for now, SCE hasn’t quantified those costs precisely. Instead, it’s asking the CPUC for permission to create a “Distributed Energy Resources Memorandum Account" (DERMA), which would record the revenue requirements for capital </w:t>
      </w:r>
      <w:proofErr w:type="gramStart"/>
      <w:r w:rsidRPr="00152BF4">
        <w:rPr>
          <w:rFonts w:ascii="Helvetica" w:eastAsia="Times New Roman" w:hAnsi="Helvetica" w:cs="Helvetica"/>
          <w:sz w:val="21"/>
          <w:szCs w:val="21"/>
        </w:rPr>
        <w:t>costs</w:t>
      </w:r>
      <w:proofErr w:type="gramEnd"/>
      <w:r w:rsidRPr="00152BF4">
        <w:rPr>
          <w:rFonts w:ascii="Helvetica" w:eastAsia="Times New Roman" w:hAnsi="Helvetica" w:cs="Helvetica"/>
          <w:sz w:val="21"/>
          <w:szCs w:val="21"/>
        </w:rPr>
        <w:t xml:space="preserve"> and operations and maintenance expenses from 2015 to 2017 that are to be added to its authorized funding.</w:t>
      </w:r>
    </w:p>
    <w:p w:rsidR="00152BF4" w:rsidRPr="00152BF4" w:rsidRDefault="00152BF4" w:rsidP="00152BF4">
      <w:pPr>
        <w:spacing w:after="360" w:line="360" w:lineRule="atLeast"/>
        <w:rPr>
          <w:rFonts w:ascii="Helvetica" w:eastAsia="Times New Roman" w:hAnsi="Helvetica" w:cs="Helvetica"/>
          <w:sz w:val="21"/>
          <w:szCs w:val="21"/>
        </w:rPr>
      </w:pPr>
      <w:r w:rsidRPr="00152BF4">
        <w:rPr>
          <w:rFonts w:ascii="Helvetica" w:eastAsia="Times New Roman" w:hAnsi="Helvetica" w:cs="Helvetica"/>
          <w:sz w:val="21"/>
          <w:szCs w:val="21"/>
        </w:rPr>
        <w:t xml:space="preserve">“The ranges of investment that will be shown really represent moving from the technologies we’re deploying today to the next generation,” </w:t>
      </w:r>
      <w:proofErr w:type="spellStart"/>
      <w:r w:rsidRPr="00152BF4">
        <w:rPr>
          <w:rFonts w:ascii="Helvetica" w:eastAsia="Times New Roman" w:hAnsi="Helvetica" w:cs="Helvetica"/>
          <w:sz w:val="21"/>
          <w:szCs w:val="21"/>
        </w:rPr>
        <w:t>Takayesu</w:t>
      </w:r>
      <w:proofErr w:type="spellEnd"/>
      <w:r w:rsidRPr="00152BF4">
        <w:rPr>
          <w:rFonts w:ascii="Helvetica" w:eastAsia="Times New Roman" w:hAnsi="Helvetica" w:cs="Helvetica"/>
          <w:sz w:val="21"/>
          <w:szCs w:val="21"/>
        </w:rPr>
        <w:t xml:space="preserve"> said. Like its fellow California utilities, SCE has previously deployed smart meters, installed distribution automation gear, and invested in back-office software to support it all. Now it's seeking funding for an ongoing grid modernization.</w:t>
      </w:r>
    </w:p>
    <w:p w:rsidR="00152BF4" w:rsidRPr="00152BF4" w:rsidRDefault="00152BF4" w:rsidP="00152BF4">
      <w:pPr>
        <w:spacing w:after="360" w:line="360" w:lineRule="atLeast"/>
        <w:rPr>
          <w:rFonts w:ascii="Helvetica" w:eastAsia="Times New Roman" w:hAnsi="Helvetica" w:cs="Helvetica"/>
          <w:sz w:val="21"/>
          <w:szCs w:val="21"/>
        </w:rPr>
      </w:pPr>
      <w:r w:rsidRPr="00152BF4">
        <w:rPr>
          <w:rFonts w:ascii="Helvetica" w:eastAsia="Times New Roman" w:hAnsi="Helvetica" w:cs="Helvetica"/>
          <w:sz w:val="21"/>
          <w:szCs w:val="21"/>
        </w:rPr>
        <w:t xml:space="preserve">“One of the things we envision is that the grid operator of the future is going to need to have the ability to make decisions on the grid,” </w:t>
      </w:r>
      <w:proofErr w:type="spellStart"/>
      <w:r w:rsidRPr="00152BF4">
        <w:rPr>
          <w:rFonts w:ascii="Helvetica" w:eastAsia="Times New Roman" w:hAnsi="Helvetica" w:cs="Helvetica"/>
          <w:sz w:val="21"/>
          <w:szCs w:val="21"/>
        </w:rPr>
        <w:t>Takayesu</w:t>
      </w:r>
      <w:proofErr w:type="spellEnd"/>
      <w:r w:rsidRPr="00152BF4">
        <w:rPr>
          <w:rFonts w:ascii="Helvetica" w:eastAsia="Times New Roman" w:hAnsi="Helvetica" w:cs="Helvetica"/>
          <w:sz w:val="21"/>
          <w:szCs w:val="21"/>
        </w:rPr>
        <w:t xml:space="preserve"> said. “They operate the grid 24 hours a day, they respond to emergencies, they reconfigure the system when maintenance is needed to balance load. As events occur, the ability to collect more information will drive feature evolutions in grid management systems.” SCE’s DRP includes an assessment of how these projects will help prepare the distribution system for higher penetrations of distributed energy, and where SCE may need to do more, he said.</w:t>
      </w:r>
    </w:p>
    <w:p w:rsidR="00152BF4" w:rsidRPr="00152BF4" w:rsidRDefault="00152BF4" w:rsidP="00152BF4">
      <w:pPr>
        <w:spacing w:after="360" w:line="360" w:lineRule="atLeast"/>
        <w:rPr>
          <w:rFonts w:ascii="Helvetica" w:eastAsia="Times New Roman" w:hAnsi="Helvetica" w:cs="Helvetica"/>
          <w:sz w:val="21"/>
          <w:szCs w:val="21"/>
        </w:rPr>
      </w:pPr>
      <w:r w:rsidRPr="00152BF4">
        <w:rPr>
          <w:rFonts w:ascii="Helvetica" w:eastAsia="Times New Roman" w:hAnsi="Helvetica" w:cs="Helvetica"/>
          <w:sz w:val="21"/>
          <w:szCs w:val="21"/>
        </w:rPr>
        <w:t xml:space="preserve">Many questions still remain to be answered, however. One big one is how DERs might be compensated for serving a role in categories beyond their capacity value. California is still working on regulations for how DERs might be aggregated to serve the ancillary services needs of </w:t>
      </w:r>
      <w:hyperlink r:id="rId24" w:history="1">
        <w:r w:rsidRPr="00152BF4">
          <w:rPr>
            <w:rFonts w:ascii="Helvetica" w:eastAsia="Times New Roman" w:hAnsi="Helvetica" w:cs="Helvetica"/>
            <w:color w:val="97AD78"/>
            <w:sz w:val="21"/>
            <w:szCs w:val="21"/>
            <w:bdr w:val="none" w:sz="0" w:space="0" w:color="auto" w:frame="1"/>
          </w:rPr>
          <w:t>state grid operator CAISO</w:t>
        </w:r>
      </w:hyperlink>
      <w:r w:rsidRPr="00152BF4">
        <w:rPr>
          <w:rFonts w:ascii="Helvetica" w:eastAsia="Times New Roman" w:hAnsi="Helvetica" w:cs="Helvetica"/>
          <w:sz w:val="21"/>
          <w:szCs w:val="21"/>
        </w:rPr>
        <w:t xml:space="preserve">, for example. Another CPUC proceeding is </w:t>
      </w:r>
      <w:hyperlink r:id="rId25" w:history="1">
        <w:r w:rsidRPr="00152BF4">
          <w:rPr>
            <w:rFonts w:ascii="Helvetica" w:eastAsia="Times New Roman" w:hAnsi="Helvetica" w:cs="Helvetica"/>
            <w:color w:val="97AD78"/>
            <w:sz w:val="21"/>
            <w:szCs w:val="21"/>
            <w:bdr w:val="none" w:sz="0" w:space="0" w:color="auto" w:frame="1"/>
          </w:rPr>
          <w:t>tackling how demand response</w:t>
        </w:r>
      </w:hyperlink>
      <w:r w:rsidRPr="00152BF4">
        <w:rPr>
          <w:rFonts w:ascii="Helvetica" w:eastAsia="Times New Roman" w:hAnsi="Helvetica" w:cs="Helvetica"/>
          <w:sz w:val="21"/>
          <w:szCs w:val="21"/>
        </w:rPr>
        <w:t xml:space="preserve"> -- controlling power consumption at homes and businesses to meet system-wide capacity needs -- might be further fine-tuned to help mitigate local grid constraints. </w:t>
      </w:r>
    </w:p>
    <w:p w:rsidR="00152BF4" w:rsidRPr="00152BF4" w:rsidRDefault="00152BF4" w:rsidP="00152BF4">
      <w:pPr>
        <w:spacing w:after="360" w:line="360" w:lineRule="atLeast"/>
        <w:rPr>
          <w:rFonts w:ascii="Helvetica" w:eastAsia="Times New Roman" w:hAnsi="Helvetica" w:cs="Helvetica"/>
          <w:sz w:val="21"/>
          <w:szCs w:val="21"/>
        </w:rPr>
      </w:pPr>
      <w:r w:rsidRPr="00152BF4">
        <w:rPr>
          <w:rFonts w:ascii="Helvetica" w:eastAsia="Times New Roman" w:hAnsi="Helvetica" w:cs="Helvetica"/>
          <w:sz w:val="21"/>
          <w:szCs w:val="21"/>
        </w:rPr>
        <w:t>“One thing that the filing doesn't have in there is discussion about the details for future phases,” he said. “As we get out to the 2018-and-beyond timeframe, there are some paragraphs that discuss future visions of how the DRP will emerge in subsequent phases.”</w:t>
      </w:r>
    </w:p>
    <w:p w:rsidR="00B833A1" w:rsidRDefault="00B833A1"/>
    <w:sectPr w:rsidR="00B833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2BF4"/>
    <w:rsid w:val="00152BF4"/>
    <w:rsid w:val="00B833A1"/>
    <w:rsid w:val="00C46AA9"/>
    <w:rsid w:val="00DB25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52BF4"/>
    <w:pPr>
      <w:spacing w:after="0" w:line="280" w:lineRule="atLeast"/>
      <w:outlineLvl w:val="0"/>
    </w:pPr>
    <w:rPr>
      <w:rFonts w:ascii="Times New Roman" w:eastAsia="Times New Roman" w:hAnsi="Times New Roman" w:cs="Times New Roman"/>
      <w:b/>
      <w:bCs/>
      <w:kern w:val="36"/>
      <w:sz w:val="54"/>
      <w:szCs w:val="54"/>
    </w:rPr>
  </w:style>
  <w:style w:type="paragraph" w:styleId="Heading3">
    <w:name w:val="heading 3"/>
    <w:basedOn w:val="Normal"/>
    <w:link w:val="Heading3Char"/>
    <w:uiPriority w:val="9"/>
    <w:qFormat/>
    <w:rsid w:val="00152BF4"/>
    <w:pPr>
      <w:spacing w:after="0" w:line="336" w:lineRule="atLeast"/>
      <w:outlineLvl w:val="2"/>
    </w:pPr>
    <w:rPr>
      <w:rFonts w:ascii="Times New Roman" w:eastAsia="Times New Roman" w:hAnsi="Times New Roman" w:cs="Times New Roman"/>
      <w:b/>
      <w:bCs/>
      <w:sz w:val="30"/>
      <w:szCs w:val="30"/>
    </w:rPr>
  </w:style>
  <w:style w:type="paragraph" w:styleId="Heading6">
    <w:name w:val="heading 6"/>
    <w:basedOn w:val="Normal"/>
    <w:link w:val="Heading6Char"/>
    <w:uiPriority w:val="9"/>
    <w:qFormat/>
    <w:rsid w:val="00152BF4"/>
    <w:pPr>
      <w:spacing w:after="0" w:line="351" w:lineRule="atLeast"/>
      <w:outlineLvl w:val="5"/>
    </w:pPr>
    <w:rPr>
      <w:rFonts w:ascii="Times New Roman" w:eastAsia="Times New Roman" w:hAnsi="Times New Roman" w:cs="Times New Roman"/>
      <w:b/>
      <w:bCs/>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2BF4"/>
    <w:rPr>
      <w:rFonts w:ascii="Times New Roman" w:eastAsia="Times New Roman" w:hAnsi="Times New Roman" w:cs="Times New Roman"/>
      <w:b/>
      <w:bCs/>
      <w:kern w:val="36"/>
      <w:sz w:val="54"/>
      <w:szCs w:val="54"/>
    </w:rPr>
  </w:style>
  <w:style w:type="character" w:customStyle="1" w:styleId="Heading3Char">
    <w:name w:val="Heading 3 Char"/>
    <w:basedOn w:val="DefaultParagraphFont"/>
    <w:link w:val="Heading3"/>
    <w:uiPriority w:val="9"/>
    <w:rsid w:val="00152BF4"/>
    <w:rPr>
      <w:rFonts w:ascii="Times New Roman" w:eastAsia="Times New Roman" w:hAnsi="Times New Roman" w:cs="Times New Roman"/>
      <w:b/>
      <w:bCs/>
      <w:sz w:val="30"/>
      <w:szCs w:val="30"/>
    </w:rPr>
  </w:style>
  <w:style w:type="character" w:customStyle="1" w:styleId="Heading6Char">
    <w:name w:val="Heading 6 Char"/>
    <w:basedOn w:val="DefaultParagraphFont"/>
    <w:link w:val="Heading6"/>
    <w:uiPriority w:val="9"/>
    <w:rsid w:val="00152BF4"/>
    <w:rPr>
      <w:rFonts w:ascii="Times New Roman" w:eastAsia="Times New Roman" w:hAnsi="Times New Roman" w:cs="Times New Roman"/>
      <w:b/>
      <w:bCs/>
      <w:sz w:val="19"/>
      <w:szCs w:val="19"/>
    </w:rPr>
  </w:style>
  <w:style w:type="character" w:styleId="Hyperlink">
    <w:name w:val="Hyperlink"/>
    <w:basedOn w:val="DefaultParagraphFont"/>
    <w:uiPriority w:val="99"/>
    <w:semiHidden/>
    <w:unhideWhenUsed/>
    <w:rsid w:val="00152BF4"/>
    <w:rPr>
      <w:strike w:val="0"/>
      <w:dstrike w:val="0"/>
      <w:color w:val="97AD78"/>
      <w:u w:val="none"/>
      <w:effect w:val="none"/>
      <w:bdr w:val="none" w:sz="0" w:space="0" w:color="auto" w:frame="1"/>
    </w:rPr>
  </w:style>
  <w:style w:type="character" w:styleId="Strong">
    <w:name w:val="Strong"/>
    <w:basedOn w:val="DefaultParagraphFont"/>
    <w:uiPriority w:val="22"/>
    <w:qFormat/>
    <w:rsid w:val="00152BF4"/>
    <w:rPr>
      <w:rFonts w:ascii="Helvetica" w:hAnsi="Helvetica" w:cs="Helvetica" w:hint="default"/>
      <w:b/>
      <w:bCs/>
    </w:rPr>
  </w:style>
  <w:style w:type="paragraph" w:styleId="NormalWeb">
    <w:name w:val="Normal (Web)"/>
    <w:basedOn w:val="Normal"/>
    <w:uiPriority w:val="99"/>
    <w:semiHidden/>
    <w:unhideWhenUsed/>
    <w:rsid w:val="00152BF4"/>
    <w:pPr>
      <w:spacing w:after="360" w:line="360" w:lineRule="atLeast"/>
    </w:pPr>
    <w:rPr>
      <w:rFonts w:ascii="Times New Roman" w:eastAsia="Times New Roman" w:hAnsi="Times New Roman" w:cs="Times New Roman"/>
      <w:sz w:val="21"/>
      <w:szCs w:val="21"/>
    </w:rPr>
  </w:style>
  <w:style w:type="paragraph" w:styleId="BalloonText">
    <w:name w:val="Balloon Text"/>
    <w:basedOn w:val="Normal"/>
    <w:link w:val="BalloonTextChar"/>
    <w:uiPriority w:val="99"/>
    <w:semiHidden/>
    <w:unhideWhenUsed/>
    <w:rsid w:val="00152B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2BF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52BF4"/>
    <w:pPr>
      <w:spacing w:after="0" w:line="280" w:lineRule="atLeast"/>
      <w:outlineLvl w:val="0"/>
    </w:pPr>
    <w:rPr>
      <w:rFonts w:ascii="Times New Roman" w:eastAsia="Times New Roman" w:hAnsi="Times New Roman" w:cs="Times New Roman"/>
      <w:b/>
      <w:bCs/>
      <w:kern w:val="36"/>
      <w:sz w:val="54"/>
      <w:szCs w:val="54"/>
    </w:rPr>
  </w:style>
  <w:style w:type="paragraph" w:styleId="Heading3">
    <w:name w:val="heading 3"/>
    <w:basedOn w:val="Normal"/>
    <w:link w:val="Heading3Char"/>
    <w:uiPriority w:val="9"/>
    <w:qFormat/>
    <w:rsid w:val="00152BF4"/>
    <w:pPr>
      <w:spacing w:after="0" w:line="336" w:lineRule="atLeast"/>
      <w:outlineLvl w:val="2"/>
    </w:pPr>
    <w:rPr>
      <w:rFonts w:ascii="Times New Roman" w:eastAsia="Times New Roman" w:hAnsi="Times New Roman" w:cs="Times New Roman"/>
      <w:b/>
      <w:bCs/>
      <w:sz w:val="30"/>
      <w:szCs w:val="30"/>
    </w:rPr>
  </w:style>
  <w:style w:type="paragraph" w:styleId="Heading6">
    <w:name w:val="heading 6"/>
    <w:basedOn w:val="Normal"/>
    <w:link w:val="Heading6Char"/>
    <w:uiPriority w:val="9"/>
    <w:qFormat/>
    <w:rsid w:val="00152BF4"/>
    <w:pPr>
      <w:spacing w:after="0" w:line="351" w:lineRule="atLeast"/>
      <w:outlineLvl w:val="5"/>
    </w:pPr>
    <w:rPr>
      <w:rFonts w:ascii="Times New Roman" w:eastAsia="Times New Roman" w:hAnsi="Times New Roman" w:cs="Times New Roman"/>
      <w:b/>
      <w:bCs/>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2BF4"/>
    <w:rPr>
      <w:rFonts w:ascii="Times New Roman" w:eastAsia="Times New Roman" w:hAnsi="Times New Roman" w:cs="Times New Roman"/>
      <w:b/>
      <w:bCs/>
      <w:kern w:val="36"/>
      <w:sz w:val="54"/>
      <w:szCs w:val="54"/>
    </w:rPr>
  </w:style>
  <w:style w:type="character" w:customStyle="1" w:styleId="Heading3Char">
    <w:name w:val="Heading 3 Char"/>
    <w:basedOn w:val="DefaultParagraphFont"/>
    <w:link w:val="Heading3"/>
    <w:uiPriority w:val="9"/>
    <w:rsid w:val="00152BF4"/>
    <w:rPr>
      <w:rFonts w:ascii="Times New Roman" w:eastAsia="Times New Roman" w:hAnsi="Times New Roman" w:cs="Times New Roman"/>
      <w:b/>
      <w:bCs/>
      <w:sz w:val="30"/>
      <w:szCs w:val="30"/>
    </w:rPr>
  </w:style>
  <w:style w:type="character" w:customStyle="1" w:styleId="Heading6Char">
    <w:name w:val="Heading 6 Char"/>
    <w:basedOn w:val="DefaultParagraphFont"/>
    <w:link w:val="Heading6"/>
    <w:uiPriority w:val="9"/>
    <w:rsid w:val="00152BF4"/>
    <w:rPr>
      <w:rFonts w:ascii="Times New Roman" w:eastAsia="Times New Roman" w:hAnsi="Times New Roman" w:cs="Times New Roman"/>
      <w:b/>
      <w:bCs/>
      <w:sz w:val="19"/>
      <w:szCs w:val="19"/>
    </w:rPr>
  </w:style>
  <w:style w:type="character" w:styleId="Hyperlink">
    <w:name w:val="Hyperlink"/>
    <w:basedOn w:val="DefaultParagraphFont"/>
    <w:uiPriority w:val="99"/>
    <w:semiHidden/>
    <w:unhideWhenUsed/>
    <w:rsid w:val="00152BF4"/>
    <w:rPr>
      <w:strike w:val="0"/>
      <w:dstrike w:val="0"/>
      <w:color w:val="97AD78"/>
      <w:u w:val="none"/>
      <w:effect w:val="none"/>
      <w:bdr w:val="none" w:sz="0" w:space="0" w:color="auto" w:frame="1"/>
    </w:rPr>
  </w:style>
  <w:style w:type="character" w:styleId="Strong">
    <w:name w:val="Strong"/>
    <w:basedOn w:val="DefaultParagraphFont"/>
    <w:uiPriority w:val="22"/>
    <w:qFormat/>
    <w:rsid w:val="00152BF4"/>
    <w:rPr>
      <w:rFonts w:ascii="Helvetica" w:hAnsi="Helvetica" w:cs="Helvetica" w:hint="default"/>
      <w:b/>
      <w:bCs/>
    </w:rPr>
  </w:style>
  <w:style w:type="paragraph" w:styleId="NormalWeb">
    <w:name w:val="Normal (Web)"/>
    <w:basedOn w:val="Normal"/>
    <w:uiPriority w:val="99"/>
    <w:semiHidden/>
    <w:unhideWhenUsed/>
    <w:rsid w:val="00152BF4"/>
    <w:pPr>
      <w:spacing w:after="360" w:line="360" w:lineRule="atLeast"/>
    </w:pPr>
    <w:rPr>
      <w:rFonts w:ascii="Times New Roman" w:eastAsia="Times New Roman" w:hAnsi="Times New Roman" w:cs="Times New Roman"/>
      <w:sz w:val="21"/>
      <w:szCs w:val="21"/>
    </w:rPr>
  </w:style>
  <w:style w:type="paragraph" w:styleId="BalloonText">
    <w:name w:val="Balloon Text"/>
    <w:basedOn w:val="Normal"/>
    <w:link w:val="BalloonTextChar"/>
    <w:uiPriority w:val="99"/>
    <w:semiHidden/>
    <w:unhideWhenUsed/>
    <w:rsid w:val="00152B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2BF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2984951">
      <w:bodyDiv w:val="1"/>
      <w:marLeft w:val="0"/>
      <w:marRight w:val="0"/>
      <w:marTop w:val="0"/>
      <w:marBottom w:val="0"/>
      <w:divBdr>
        <w:top w:val="none" w:sz="0" w:space="0" w:color="auto"/>
        <w:left w:val="none" w:sz="0" w:space="0" w:color="auto"/>
        <w:bottom w:val="none" w:sz="0" w:space="0" w:color="auto"/>
        <w:right w:val="none" w:sz="0" w:space="0" w:color="auto"/>
      </w:divBdr>
      <w:divsChild>
        <w:div w:id="506596715">
          <w:marLeft w:val="0"/>
          <w:marRight w:val="0"/>
          <w:marTop w:val="0"/>
          <w:marBottom w:val="0"/>
          <w:divBdr>
            <w:top w:val="none" w:sz="0" w:space="0" w:color="auto"/>
            <w:left w:val="none" w:sz="0" w:space="0" w:color="auto"/>
            <w:bottom w:val="none" w:sz="0" w:space="0" w:color="auto"/>
            <w:right w:val="none" w:sz="0" w:space="0" w:color="auto"/>
          </w:divBdr>
          <w:divsChild>
            <w:div w:id="805051968">
              <w:marLeft w:val="0"/>
              <w:marRight w:val="0"/>
              <w:marTop w:val="0"/>
              <w:marBottom w:val="0"/>
              <w:divBdr>
                <w:top w:val="none" w:sz="0" w:space="0" w:color="auto"/>
                <w:left w:val="none" w:sz="0" w:space="0" w:color="auto"/>
                <w:bottom w:val="none" w:sz="0" w:space="0" w:color="auto"/>
                <w:right w:val="none" w:sz="0" w:space="0" w:color="auto"/>
              </w:divBdr>
              <w:divsChild>
                <w:div w:id="1252590463">
                  <w:marLeft w:val="0"/>
                  <w:marRight w:val="0"/>
                  <w:marTop w:val="0"/>
                  <w:marBottom w:val="0"/>
                  <w:divBdr>
                    <w:top w:val="none" w:sz="0" w:space="0" w:color="auto"/>
                    <w:left w:val="none" w:sz="0" w:space="0" w:color="auto"/>
                    <w:bottom w:val="none" w:sz="0" w:space="0" w:color="auto"/>
                    <w:right w:val="none" w:sz="0" w:space="0" w:color="auto"/>
                  </w:divBdr>
                  <w:divsChild>
                    <w:div w:id="1591812880">
                      <w:marLeft w:val="0"/>
                      <w:marRight w:val="0"/>
                      <w:marTop w:val="0"/>
                      <w:marBottom w:val="0"/>
                      <w:divBdr>
                        <w:top w:val="none" w:sz="0" w:space="0" w:color="auto"/>
                        <w:left w:val="none" w:sz="0" w:space="0" w:color="auto"/>
                        <w:bottom w:val="none" w:sz="0" w:space="0" w:color="auto"/>
                        <w:right w:val="none" w:sz="0" w:space="0" w:color="auto"/>
                      </w:divBdr>
                    </w:div>
                    <w:div w:id="981740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reentechmedia.com/articles/read/its-official-california-moves-grid-planning-toward-the-edge" TargetMode="External"/><Relationship Id="rId13" Type="http://schemas.openxmlformats.org/officeDocument/2006/relationships/hyperlink" Target="http://www.cpuc.ca.gov/PUC/energy/Renewables/hot/Renewable+Auction+Mechanism.htm" TargetMode="External"/><Relationship Id="rId18" Type="http://schemas.openxmlformats.org/officeDocument/2006/relationships/image" Target="media/image3.pn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greentechmedia.com/articles/read/SCE-builds-out-a-grid-edge-pilot-in-southern-california" TargetMode="External"/><Relationship Id="rId7" Type="http://schemas.openxmlformats.org/officeDocument/2006/relationships/hyperlink" Target="http://www.greentechmedia.com/articles/read/AB-327-Signed-Into-Law-in-California-With-Solar-NEM-Warning-from-Jerry-Bro" TargetMode="External"/><Relationship Id="rId12" Type="http://schemas.openxmlformats.org/officeDocument/2006/relationships/hyperlink" Target="http://www.greentechmedia.com/articles/read/distributed-marginal-price-dmp-the-new-metric-for-the-grid-edge" TargetMode="External"/><Relationship Id="rId17" Type="http://schemas.openxmlformats.org/officeDocument/2006/relationships/hyperlink" Target="http://morethansmart.org/state-action/gridwork-in-ca/" TargetMode="External"/><Relationship Id="rId25" Type="http://schemas.openxmlformats.org/officeDocument/2006/relationships/hyperlink" Target="http://www.greentechmedia.com/articles/read/Californias-Demand-Response-2.0-Creates-New-Competitive-Markets" TargetMode="External"/><Relationship Id="rId2" Type="http://schemas.microsoft.com/office/2007/relationships/stylesWithEffects" Target="stylesWithEffects.xml"/><Relationship Id="rId16" Type="http://schemas.openxmlformats.org/officeDocument/2006/relationships/hyperlink" Target="http://www.greentechmedia.com/articles/read/A-Possible-Solution-to-the-Utility-Revenue-Shift" TargetMode="External"/><Relationship Id="rId20" Type="http://schemas.openxmlformats.org/officeDocument/2006/relationships/hyperlink" Target="http://www.greentechmedia.com/articles/read/Inside-SoCal-Edisons-Groundbreaking-2.2GW-Grid-Modernization-Plan" TargetMode="External"/><Relationship Id="rId1" Type="http://schemas.openxmlformats.org/officeDocument/2006/relationships/styles" Target="styles.xml"/><Relationship Id="rId6" Type="http://schemas.openxmlformats.org/officeDocument/2006/relationships/hyperlink" Target="http://www.greentechmedia.com/authors/Jeff+St.+John" TargetMode="External"/><Relationship Id="rId11" Type="http://schemas.openxmlformats.org/officeDocument/2006/relationships/hyperlink" Target="http://www.greentechmedia.com/articles/read/EPRI-Reveals-Its-Worldview-on-The-Integrated-Electrical-Grid" TargetMode="External"/><Relationship Id="rId24" Type="http://schemas.openxmlformats.org/officeDocument/2006/relationships/hyperlink" Target="http://www.greentechmedia.com/articles/read/californias-plan-to-turn-distributed-energy-resources-into-grid-market-play" TargetMode="External"/><Relationship Id="rId5" Type="http://schemas.openxmlformats.org/officeDocument/2006/relationships/image" Target="media/image1.jpeg"/><Relationship Id="rId15" Type="http://schemas.openxmlformats.org/officeDocument/2006/relationships/hyperlink" Target="http://www.greentechmedia.com/articles/read/how-california-can-streamline-interconnection-of-distributed-energy" TargetMode="External"/><Relationship Id="rId23" Type="http://schemas.openxmlformats.org/officeDocument/2006/relationships/image" Target="media/image4.png"/><Relationship Id="rId10" Type="http://schemas.openxmlformats.org/officeDocument/2006/relationships/hyperlink" Target="http://www.greentechmedia.com/articles/featured/Californias-Distributed-Energy-Challenge-Sharing-the-Data" TargetMode="External"/><Relationship Id="rId19" Type="http://schemas.openxmlformats.org/officeDocument/2006/relationships/hyperlink" Target="http://www.greentechmedia.com/articles/read/solars-value-for-grid-circuits-not-much-on-average-but-huge-for-a-handful" TargetMode="External"/><Relationship Id="rId4" Type="http://schemas.openxmlformats.org/officeDocument/2006/relationships/webSettings" Target="webSettings.xml"/><Relationship Id="rId9" Type="http://schemas.openxmlformats.org/officeDocument/2006/relationships/hyperlink" Target="http://www.cpuc.ca.gov/NR/rdonlyres/9F82A335-B13A-4F68-A5DE-3D4229F8A5E6/0/146374514finalacr.pdf" TargetMode="External"/><Relationship Id="rId14" Type="http://schemas.openxmlformats.org/officeDocument/2006/relationships/image" Target="media/image2.png"/><Relationship Id="rId22" Type="http://schemas.openxmlformats.org/officeDocument/2006/relationships/hyperlink" Target="http://www.energy.ca.gov/research/epic/"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2239</Words>
  <Characters>12764</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smsadmin</dc:creator>
  <cp:lastModifiedBy>Teague, John</cp:lastModifiedBy>
  <cp:revision>2</cp:revision>
  <dcterms:created xsi:type="dcterms:W3CDTF">2015-09-11T15:03:00Z</dcterms:created>
  <dcterms:modified xsi:type="dcterms:W3CDTF">2015-09-11T15:03:00Z</dcterms:modified>
</cp:coreProperties>
</file>